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902FD3" w:rsidRDefault="00902FD3" w:rsidP="00920F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02FD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0" allowOverlap="1" wp14:anchorId="7ADF198E" wp14:editId="5BE451C6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902FD3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widowControl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8408E" w:rsidRPr="00902FD3" w:rsidRDefault="0008408E" w:rsidP="00920F5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902FD3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902FD3" w:rsidRDefault="0008408E" w:rsidP="00920F5B">
      <w:pPr>
        <w:widowControl w:val="0"/>
        <w:snapToGrid w:val="0"/>
        <w:spacing w:after="0" w:line="240" w:lineRule="auto"/>
        <w:ind w:left="2124" w:firstLine="708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Р І Ш Е Н </w:t>
      </w:r>
      <w:proofErr w:type="spellStart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Pr="00902FD3">
        <w:rPr>
          <w:rFonts w:ascii="Times New Roman" w:hAnsi="Times New Roman"/>
          <w:bCs/>
          <w:sz w:val="28"/>
          <w:szCs w:val="28"/>
          <w:lang w:val="uk-UA" w:eastAsia="ru-RU"/>
        </w:rPr>
        <w:t xml:space="preserve"> Я                     </w:t>
      </w:r>
      <w:r w:rsidR="001A2194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ПРОЄКТ </w:t>
      </w:r>
      <w:bookmarkStart w:id="0" w:name="_GoBack"/>
      <w:bookmarkEnd w:id="0"/>
    </w:p>
    <w:p w:rsidR="0008408E" w:rsidRP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902FD3" w:rsidRDefault="0008408E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від </w:t>
      </w:r>
      <w:r w:rsidR="00062ADA" w:rsidRPr="00062ADA">
        <w:rPr>
          <w:rFonts w:ascii="Times New Roman" w:hAnsi="Times New Roman"/>
          <w:sz w:val="24"/>
          <w:szCs w:val="24"/>
          <w:lang w:val="uk-UA" w:eastAsia="ru-RU"/>
        </w:rPr>
        <w:t>24 грудня 2021</w:t>
      </w:r>
      <w:r w:rsidR="00920F5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року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      № </w:t>
      </w:r>
      <w:r w:rsidR="00337444">
        <w:rPr>
          <w:rFonts w:ascii="Times New Roman" w:hAnsi="Times New Roman"/>
          <w:sz w:val="24"/>
          <w:szCs w:val="24"/>
          <w:lang w:val="uk-UA" w:eastAsia="ru-RU"/>
        </w:rPr>
        <w:t>3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ab/>
        <w:t xml:space="preserve">                   </w:t>
      </w:r>
      <w:r w:rsidR="009904A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      </w:t>
      </w:r>
      <w:r w:rsidR="00337444">
        <w:rPr>
          <w:rFonts w:ascii="Times New Roman" w:hAnsi="Times New Roman"/>
          <w:sz w:val="24"/>
          <w:szCs w:val="24"/>
          <w:lang w:val="uk-UA" w:eastAsia="ru-RU"/>
        </w:rPr>
        <w:t>ХІ</w:t>
      </w:r>
      <w:r w:rsidR="00337444"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="009904AB"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 xml:space="preserve">сесія </w:t>
      </w:r>
      <w:r w:rsidR="00920F5B"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="00920F5B" w:rsidRPr="00062ADA">
        <w:rPr>
          <w:rFonts w:ascii="Times New Roman" w:hAnsi="Times New Roman"/>
          <w:sz w:val="24"/>
          <w:szCs w:val="24"/>
          <w:lang w:val="uk-UA" w:eastAsia="ru-RU"/>
        </w:rPr>
        <w:t>ІІІ</w:t>
      </w:r>
      <w:r w:rsidR="00902FD3" w:rsidRPr="00062ADA">
        <w:rPr>
          <w:rFonts w:ascii="Times New Roman" w:hAnsi="Times New Roman"/>
          <w:sz w:val="24"/>
          <w:szCs w:val="24"/>
          <w:lang w:val="uk-UA" w:eastAsia="ru-RU"/>
        </w:rPr>
        <w:t xml:space="preserve"> скликання</w:t>
      </w:r>
    </w:p>
    <w:p w:rsidR="00062ADA" w:rsidRPr="00062ADA" w:rsidRDefault="00062ADA" w:rsidP="00920F5B">
      <w:pPr>
        <w:widowControl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20F5B" w:rsidRPr="00062ADA" w:rsidRDefault="006C64A8" w:rsidP="00062AD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62ADA">
        <w:rPr>
          <w:rFonts w:ascii="Times New Roman" w:hAnsi="Times New Roman"/>
          <w:sz w:val="24"/>
          <w:szCs w:val="24"/>
        </w:rPr>
        <w:t xml:space="preserve">Про </w:t>
      </w:r>
      <w:r w:rsidRPr="00062ADA">
        <w:rPr>
          <w:rFonts w:ascii="Times New Roman" w:hAnsi="Times New Roman"/>
          <w:sz w:val="24"/>
          <w:szCs w:val="24"/>
          <w:lang w:val="uk-UA"/>
        </w:rPr>
        <w:t>продовження терміну дії</w:t>
      </w:r>
      <w:r w:rsidRPr="00062ADA">
        <w:rPr>
          <w:rFonts w:ascii="Times New Roman" w:hAnsi="Times New Roman"/>
          <w:sz w:val="24"/>
          <w:szCs w:val="24"/>
        </w:rPr>
        <w:t xml:space="preserve"> </w:t>
      </w:r>
      <w:r w:rsidR="00062ADA" w:rsidRPr="00062ADA">
        <w:rPr>
          <w:rFonts w:ascii="Times New Roman" w:hAnsi="Times New Roman"/>
          <w:sz w:val="24"/>
          <w:szCs w:val="24"/>
          <w:lang w:val="uk-UA"/>
        </w:rPr>
        <w:t>до 2024</w:t>
      </w:r>
      <w:r w:rsidR="00920F5B" w:rsidRPr="00062ADA">
        <w:rPr>
          <w:rFonts w:ascii="Times New Roman" w:hAnsi="Times New Roman"/>
          <w:sz w:val="24"/>
          <w:szCs w:val="24"/>
          <w:lang w:val="uk-UA"/>
        </w:rPr>
        <w:t xml:space="preserve"> року 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Сільської  цільової програми 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«Громадський  бюджет  (</w:t>
      </w:r>
      <w:proofErr w:type="spellStart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бюджет</w:t>
      </w:r>
      <w:proofErr w:type="spellEnd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участі) </w:t>
      </w:r>
    </w:p>
    <w:p w:rsidR="0008408E" w:rsidRPr="00062ADA" w:rsidRDefault="00EF28B9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Прибужанівській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сільській  раді на 2018-2021 роки»</w:t>
      </w:r>
    </w:p>
    <w:p w:rsid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Default="00062ADA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 </w:t>
      </w:r>
      <w:r w:rsidR="00337444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</w: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Відповідно до пункту 25 частини 1 статті 26 Закону України «Про місцеве самоврядування в Україні»,  з метою розвитку демократичного суспільства, удосконалення діалогу між владою й громадою, створення та підтримки повноцінного громадського простору, активізації місцевих ініціатив жителів </w:t>
      </w:r>
      <w:proofErr w:type="spellStart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Прибужанівської</w:t>
      </w:r>
      <w:proofErr w:type="spellEnd"/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об’єднаної територіальної громади щодо участі в бюджетному процесі на основі впровадження інноваційних механізмів залучення громадськості до розподілу коштів сільського бюджету для вирішення соціально значущих питань, враховуючи рекомендації  постійної  комісії з  питань бюджету,  фінансів  та планування  соціально-економічного  розвитку,  сесія  сільської ради </w:t>
      </w:r>
    </w:p>
    <w:p w:rsidR="0089037F" w:rsidRDefault="0089037F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                                                         ВИРІШИЛА:</w:t>
      </w:r>
    </w:p>
    <w:p w:rsidR="00062ADA" w:rsidRPr="00062ADA" w:rsidRDefault="00062ADA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</w:p>
    <w:p w:rsidR="00062ADA" w:rsidRPr="00062ADA" w:rsidRDefault="00337444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  <w:t xml:space="preserve">1. </w:t>
      </w:r>
      <w:r w:rsid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Продовжити до 2024 року дію Сільської  цільової  програми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«Грома</w:t>
      </w:r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дський бюджет (</w:t>
      </w:r>
      <w:proofErr w:type="spellStart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бюджет</w:t>
      </w:r>
      <w:proofErr w:type="spellEnd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участі) 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</w:t>
      </w:r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ужанівській</w:t>
      </w:r>
      <w:proofErr w:type="spellEnd"/>
      <w:r w:rsidR="00EF28B9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сільській  раді</w:t>
      </w:r>
      <w:r w:rsidR="009C011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»</w:t>
      </w:r>
      <w:r w:rsidR="00B41BC2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та затвердити </w:t>
      </w:r>
      <w:r w:rsidR="008937EB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її в новій редакції</w:t>
      </w:r>
      <w:r w:rsidR="009C0115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 (Додаток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).</w:t>
      </w:r>
    </w:p>
    <w:p w:rsidR="00062ADA" w:rsidRPr="00062ADA" w:rsidRDefault="00337444" w:rsidP="003374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</w:r>
      <w:r w:rsid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. У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становити, що при формуванні бюджету на відповідні бюджетні періоди щорічн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о в рамках Бюджету участі в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проє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кті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бюджету в межах відповідних бюджетних програм передбачаються кошти</w:t>
      </w: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для реалізації громадських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проє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ктів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, відібраних відповідно до Положення. Обсяг цих коштів не може бути зменшений або перерозподілений при прийнятті сільського бюджету </w:t>
      </w:r>
      <w:proofErr w:type="spellStart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Прибужанівською</w:t>
      </w:r>
      <w:proofErr w:type="spellEnd"/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 xml:space="preserve"> сільською радою.</w:t>
      </w:r>
    </w:p>
    <w:p w:rsidR="00062ADA" w:rsidRPr="00062ADA" w:rsidRDefault="00337444" w:rsidP="00062AD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ab/>
        <w:t>3</w:t>
      </w:r>
      <w:r w:rsidR="00062ADA" w:rsidRPr="00062ADA">
        <w:rPr>
          <w:rFonts w:ascii="Times New Roman" w:eastAsia="Times New Roman" w:hAnsi="Times New Roman"/>
          <w:color w:val="333333"/>
          <w:sz w:val="24"/>
          <w:szCs w:val="24"/>
          <w:lang w:val="uk-UA" w:eastAsia="ru-RU"/>
        </w:rPr>
        <w:t>. Контроль за виконанням цього рішення покласти на постійну комісію з питань     бюджету, фінансів  та  планування  соціально-економічного розвитку.</w:t>
      </w:r>
    </w:p>
    <w:p w:rsidR="0008408E" w:rsidRPr="00902FD3" w:rsidRDefault="0008408E" w:rsidP="00920F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>     </w:t>
      </w:r>
    </w:p>
    <w:p w:rsidR="0008408E" w:rsidRDefault="0008408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902FD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E578B5" w:rsidRPr="00902FD3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</w:p>
    <w:p w:rsidR="0008408E" w:rsidRDefault="00902FD3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920F5B">
        <w:rPr>
          <w:rFonts w:ascii="Times New Roman" w:hAnsi="Times New Roman"/>
          <w:sz w:val="28"/>
          <w:szCs w:val="28"/>
          <w:lang w:val="uk-UA"/>
        </w:rPr>
        <w:t>:</w:t>
      </w:r>
      <w:r w:rsidR="0008408E" w:rsidRPr="00902FD3">
        <w:rPr>
          <w:rFonts w:ascii="Times New Roman" w:hAnsi="Times New Roman"/>
          <w:sz w:val="28"/>
          <w:szCs w:val="28"/>
          <w:lang w:val="uk-UA"/>
        </w:rPr>
        <w:t>                                                           О.А. Тараненко</w:t>
      </w:r>
    </w:p>
    <w:p w:rsidR="00E6534E" w:rsidRDefault="00E6534E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62ADA" w:rsidRDefault="00062ADA" w:rsidP="00920F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534E" w:rsidRDefault="00337444" w:rsidP="00920F5B">
      <w:pPr>
        <w:spacing w:line="240" w:lineRule="auto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рішення підготувала  М.</w:t>
      </w:r>
      <w:r w:rsidR="00062ADA">
        <w:rPr>
          <w:rFonts w:ascii="Times New Roman" w:hAnsi="Times New Roman"/>
          <w:lang w:val="uk-UA"/>
        </w:rPr>
        <w:t>Зайва</w:t>
      </w:r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</w:p>
    <w:p w:rsidR="00E6534E" w:rsidRDefault="00E6534E" w:rsidP="00920F5B">
      <w:pPr>
        <w:spacing w:line="240" w:lineRule="auto"/>
        <w:rPr>
          <w:rFonts w:ascii="Times New Roman" w:hAnsi="Times New Roman"/>
          <w:lang w:val="uk-UA"/>
        </w:rPr>
      </w:pPr>
    </w:p>
    <w:p w:rsidR="00337444" w:rsidRDefault="00337444" w:rsidP="00920F5B">
      <w:pPr>
        <w:spacing w:line="240" w:lineRule="auto"/>
        <w:rPr>
          <w:rFonts w:ascii="Times New Roman" w:hAnsi="Times New Roman"/>
          <w:lang w:val="uk-UA"/>
        </w:rPr>
      </w:pPr>
    </w:p>
    <w:p w:rsidR="00337444" w:rsidRPr="00E6534E" w:rsidRDefault="00337444" w:rsidP="00920F5B">
      <w:pPr>
        <w:spacing w:line="240" w:lineRule="auto"/>
        <w:rPr>
          <w:rFonts w:ascii="Times New Roman" w:hAnsi="Times New Roman"/>
          <w:lang w:val="uk-UA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lastRenderedPageBreak/>
        <w:t xml:space="preserve">Додаток </w:t>
      </w:r>
    </w:p>
    <w:p w:rsidR="009C0115" w:rsidRPr="009C0115" w:rsidRDefault="00337444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uk-UA" w:eastAsia="ru-RU"/>
        </w:rPr>
        <w:t>ХІ</w:t>
      </w:r>
      <w:r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сесії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062ADA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062ADA">
        <w:rPr>
          <w:rFonts w:ascii="Times New Roman" w:hAnsi="Times New Roman"/>
          <w:sz w:val="24"/>
          <w:szCs w:val="24"/>
          <w:lang w:val="uk-UA" w:eastAsia="ru-RU"/>
        </w:rPr>
        <w:t>ІІІ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скликання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сільської ради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</w:t>
      </w:r>
    </w:p>
    <w:p w:rsidR="009C0115" w:rsidRPr="009C0115" w:rsidRDefault="00492B21" w:rsidP="009C0115">
      <w:pPr>
        <w:numPr>
          <w:ilvl w:val="0"/>
          <w:numId w:val="6"/>
        </w:numPr>
        <w:tabs>
          <w:tab w:val="left" w:pos="1276"/>
          <w:tab w:val="left" w:pos="2700"/>
          <w:tab w:val="right" w:pos="9360"/>
        </w:tabs>
        <w:suppressAutoHyphens/>
        <w:spacing w:after="0" w:line="240" w:lineRule="auto"/>
        <w:ind w:left="4962" w:right="99" w:hanging="6"/>
        <w:contextualSpacing/>
        <w:jc w:val="right"/>
        <w:rPr>
          <w:rFonts w:ascii="Times New Roman" w:eastAsia="Times New Roman" w:hAnsi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від  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24.12.2021 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>№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3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ind w:left="5245" w:hanging="6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iCs/>
          <w:sz w:val="56"/>
          <w:szCs w:val="56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56"/>
          <w:szCs w:val="56"/>
          <w:lang w:val="uk-UA" w:eastAsia="zh-CN"/>
        </w:rPr>
        <w:t xml:space="preserve">Сільська  цільова програма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iCs/>
          <w:sz w:val="56"/>
          <w:szCs w:val="56"/>
          <w:lang w:val="uk-UA" w:eastAsia="zh-CN"/>
        </w:rPr>
        <w:t>«</w:t>
      </w: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Громадський  бюджет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(бюджет участі)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у  </w:t>
      </w:r>
      <w:proofErr w:type="spellStart"/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  сільській  раді»</w:t>
      </w:r>
    </w:p>
    <w:p w:rsidR="009C0115" w:rsidRPr="009C0115" w:rsidRDefault="00B41BC2" w:rsidP="009C0115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56"/>
          <w:szCs w:val="56"/>
          <w:lang w:val="uk-UA" w:eastAsia="zh-CN"/>
        </w:rPr>
      </w:pPr>
      <w:r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>на 2022 – 2024</w:t>
      </w:r>
      <w:r w:rsidR="009C0115" w:rsidRPr="009C0115">
        <w:rPr>
          <w:rFonts w:ascii="Times New Roman" w:eastAsia="Times New Roman" w:hAnsi="Times New Roman"/>
          <w:b/>
          <w:sz w:val="56"/>
          <w:szCs w:val="56"/>
          <w:lang w:val="uk-UA" w:eastAsia="zh-CN"/>
        </w:rPr>
        <w:t xml:space="preserve"> роки</w:t>
      </w:r>
    </w:p>
    <w:p w:rsidR="009C0115" w:rsidRPr="009C0115" w:rsidRDefault="009C0115" w:rsidP="009C0115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uppressAutoHyphens/>
        <w:spacing w:after="0" w:line="240" w:lineRule="auto"/>
        <w:ind w:left="432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141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tabs>
          <w:tab w:val="left" w:pos="141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с. 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Прибужани</w:t>
      </w:r>
      <w:proofErr w:type="spellEnd"/>
    </w:p>
    <w:p w:rsidR="009C0115" w:rsidRPr="009C0115" w:rsidRDefault="009C0115" w:rsidP="009C0115">
      <w:pPr>
        <w:pageBreakBefore/>
        <w:tabs>
          <w:tab w:val="left" w:pos="0"/>
        </w:tabs>
        <w:suppressAutoHyphens/>
        <w:spacing w:after="0" w:line="36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</w:p>
    <w:p w:rsidR="009C0115" w:rsidRPr="009C0115" w:rsidRDefault="009C0115" w:rsidP="009C011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kern w:val="1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ПАСПОРТ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24"/>
          <w:szCs w:val="24"/>
          <w:lang w:val="uk-UA" w:eastAsia="zh-CN"/>
        </w:rPr>
        <w:t xml:space="preserve">сільської  цільової програми </w:t>
      </w:r>
      <w:r w:rsidRPr="009C0115">
        <w:rPr>
          <w:rFonts w:ascii="Times New Roman" w:eastAsia="Times New Roman" w:hAnsi="Times New Roman"/>
          <w:b/>
          <w:bCs/>
          <w:iCs/>
          <w:sz w:val="24"/>
          <w:szCs w:val="24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участі) у  </w:t>
      </w:r>
      <w:proofErr w:type="spellStart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 сільській  раді»</w:t>
      </w:r>
      <w:r w:rsidR="00B41BC2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на 2022 – 2024</w:t>
      </w:r>
      <w:r w:rsidRPr="009C0115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 роки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sz w:val="24"/>
          <w:szCs w:val="24"/>
          <w:lang w:val="uk-UA" w:eastAsia="zh-CN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48"/>
        <w:gridCol w:w="2700"/>
        <w:gridCol w:w="6243"/>
      </w:tblGrid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Назва, дата і номер розпорядчого документа органу виконавчої влади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Закони України  «Про місцеве самоврядування в Україні», Бюджетний кодекс України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Розробник Програми 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 </w:t>
            </w:r>
          </w:p>
        </w:tc>
      </w:tr>
      <w:tr w:rsidR="009C0115" w:rsidRPr="001A2194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Брали участь у розробці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 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ради, відділ  бухгалтерського  обліку  та  фінансової  звітності 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ради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</w:t>
            </w:r>
          </w:p>
        </w:tc>
      </w:tr>
      <w:tr w:rsidR="009C0115" w:rsidRPr="001A2194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tabs>
                <w:tab w:val="left" w:pos="213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комітет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  ради, 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виконавчі органи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 ради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, автори проектів, депутати </w:t>
            </w:r>
            <w:proofErr w:type="spellStart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Прибужанівської</w:t>
            </w:r>
            <w:proofErr w:type="spellEnd"/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</w:t>
            </w:r>
            <w:r w:rsidRPr="009C0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ради, громадські організації, </w:t>
            </w: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головні розпорядники бюджетних коштів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2022 - 2024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роки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Сільський   бюджет</w:t>
            </w:r>
          </w:p>
        </w:tc>
      </w:tr>
      <w:tr w:rsidR="009C0115" w:rsidRPr="009C0115" w:rsidTr="00C2400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Орієнтовний обсяг коштів для реалізації Програми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2022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–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розмір суми визначається рішеннями про бюджет</w:t>
            </w:r>
          </w:p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2023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–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розмір суми визначається рішеннями про бюджет</w:t>
            </w:r>
          </w:p>
          <w:p w:rsidR="009C0115" w:rsidRPr="009C0115" w:rsidRDefault="00492B21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2024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р. - </w:t>
            </w:r>
            <w:r w:rsidR="009C0115"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 xml:space="preserve">розмір суми визначається рішеннями про </w:t>
            </w:r>
          </w:p>
          <w:p w:rsidR="009C0115" w:rsidRPr="009C0115" w:rsidRDefault="009C0115" w:rsidP="009C01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C0115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val="uk-UA" w:eastAsia="ru-RU"/>
              </w:rPr>
              <w:t>бюджет</w:t>
            </w:r>
          </w:p>
          <w:p w:rsidR="009C0115" w:rsidRPr="009C0115" w:rsidRDefault="009C0115" w:rsidP="00492B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hd w:val="clear" w:color="auto" w:fill="FFFFFF"/>
        <w:tabs>
          <w:tab w:val="left" w:pos="0"/>
        </w:tabs>
        <w:suppressAutoHyphens/>
        <w:spacing w:after="0" w:line="240" w:lineRule="auto"/>
        <w:ind w:left="720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pageBreakBefore/>
        <w:numPr>
          <w:ilvl w:val="0"/>
          <w:numId w:val="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709" w:right="57"/>
        <w:contextualSpacing/>
        <w:jc w:val="right"/>
        <w:rPr>
          <w:rFonts w:ascii="Times New Roman" w:eastAsia="Times New Roman" w:hAnsi="Times New Roman"/>
          <w:b/>
          <w:sz w:val="24"/>
          <w:szCs w:val="24"/>
          <w:lang w:val="uk-UA" w:eastAsia="zh-CN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kern w:val="1"/>
          <w:sz w:val="28"/>
          <w:szCs w:val="28"/>
          <w:lang w:val="uk-UA" w:eastAsia="zh-CN"/>
        </w:rPr>
        <w:t xml:space="preserve">Сільська цільова програма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участі) у </w:t>
      </w:r>
    </w:p>
    <w:p w:rsidR="009C0115" w:rsidRPr="009C0115" w:rsidRDefault="009C0115" w:rsidP="009C0115">
      <w:pPr>
        <w:numPr>
          <w:ilvl w:val="0"/>
          <w:numId w:val="6"/>
        </w:numPr>
        <w:tabs>
          <w:tab w:val="left" w:pos="-120"/>
          <w:tab w:val="left" w:pos="0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uk-UA" w:eastAsia="zh-CN"/>
        </w:rPr>
      </w:pP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</w:t>
      </w:r>
      <w:proofErr w:type="spellStart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 сільській  раді»</w:t>
      </w:r>
      <w:r w:rsidR="00B41BC2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на 2022 – 2024</w:t>
      </w:r>
      <w:r w:rsidRPr="009C011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 xml:space="preserve"> роки</w:t>
      </w:r>
    </w:p>
    <w:p w:rsidR="009C0115" w:rsidRPr="009C0115" w:rsidRDefault="009C0115" w:rsidP="009C0115">
      <w:pPr>
        <w:tabs>
          <w:tab w:val="left" w:pos="-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tabs>
          <w:tab w:val="left" w:pos="-1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І. Загальні положення</w:t>
      </w:r>
    </w:p>
    <w:p w:rsidR="009C0115" w:rsidRPr="009C0115" w:rsidRDefault="009C0115" w:rsidP="009C011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Сільська цільова програма </w:t>
      </w:r>
      <w:r w:rsidRPr="009C0115">
        <w:rPr>
          <w:rFonts w:ascii="Times New Roman" w:eastAsia="Times New Roman" w:hAnsi="Times New Roman"/>
          <w:bCs/>
          <w:iCs/>
          <w:sz w:val="24"/>
          <w:szCs w:val="24"/>
          <w:lang w:val="uk-UA" w:eastAsia="zh-CN"/>
        </w:rPr>
        <w:t>«Громадський  бюджет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(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бюджет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участі) у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Прибужанівській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сільській  раді» (далі - Програма) встановлює та регулює систему взаємодії вико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навчих органів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Прибужанівської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сільської 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ради та жителів сіл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Прибужани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Яструбинове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Новопристань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Дмитрівка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Бакай,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Рюмівське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Новобілоусівка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Андрійчикове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Кам’яна Балка, Вокзал, Нове, Очаківське, Манне, </w:t>
      </w:r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Вільне,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Криворучка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>Глюгове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та </w:t>
      </w: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селищ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Тімірязєвка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Новосілка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щодо реалізації проектів  за рахунок коштів  сільського бюджету.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Програма розроблена відповідно до норм Бюджетного кодексу України, Закону України «Про місцеве самоврядування в Україні» з використанням міжнародного досвіду щодо активізації участі громадян у прийнятті рішень та методології реалізації механізмів  Громадського  бюджету.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У Програмі застосовуються такі терміни: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Громадський  бюджет (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участі) -</w:t>
      </w:r>
      <w:bookmarkStart w:id="1" w:name="o31"/>
      <w:bookmarkEnd w:id="1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 взаємодії органів місцевого самоврядування з громадськістю, направлений на включення жителів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, які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постійн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о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прожива</w:t>
      </w:r>
      <w:r w:rsidRPr="009C0115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>ють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у межах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ради, до прийняття рішень щодо розподілу визначеної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Прибужанівською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сільською радою частини місцевого бюджету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експертна група – група фахівців із представників виконавчих органів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 ради, яка створюється рішенням виконавчого коміте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ту для аналізу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відділ бухгалтерського  обліку  та  фінансової  звітності – структурний підрозділ викона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вчого комітету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сільської ради, який координує питання  функціонування Громадського  б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юджету, здійснює підготовку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нормативно-правових актів та забезпечує співпрацю з громадськістю щодо питань Громадського  бюджету;</w:t>
      </w:r>
    </w:p>
    <w:p w:rsidR="009C0115" w:rsidRPr="009C0115" w:rsidRDefault="00337444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пропозиція, яка подана автором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відповідно до форми подання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відповідає вимогам, які визначені Положенням про Громадський  бюджет (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участі) у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Прибужанівській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сільській раді;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автор – повнолітній дієздатний</w:t>
      </w:r>
      <w:r w:rsidR="00B41B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громадянин України віком від 16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років, який постійно проживає в межах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ради;</w:t>
      </w:r>
    </w:p>
    <w:p w:rsidR="009C0115" w:rsidRPr="009C0115" w:rsidRDefault="00337444" w:rsidP="009C0115">
      <w:pPr>
        <w:numPr>
          <w:ilvl w:val="0"/>
          <w:numId w:val="9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карта аналізу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формуляр, який заповнюється експертною групою;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пункти голосування – місця для проведення голосування, які визначені  розпорядженням сільського голови;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голосування –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процес визначення жителями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ів-переможців</w:t>
      </w:r>
      <w:proofErr w:type="spellEnd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серед поданих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шляхом заповнення бланку для голосування в електронному та паперовому вигляді;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встановлення підсумків голосування – підрахунок ко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місією, поданих за кожен із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відповідно до заповнених бланків для голосування;</w:t>
      </w:r>
    </w:p>
    <w:p w:rsidR="009C0115" w:rsidRPr="009C0115" w:rsidRDefault="00337444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проєкти-переможці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що відповідно до встановлення підсумків голосування набрали найбільшу кількість балів. У випадку нестачі кош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тів на реалізацію чергового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кількістю балів, пере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можцем визнається наступний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 кількістю балів, реалізація якого не призведе до перевищення заг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альної суми. У випадку якщо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набирають однакову кількість голосів, місце пропозицій у списку визначається за п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орядковим номером у реєстрі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які допускаються до голосування;</w:t>
      </w:r>
    </w:p>
    <w:p w:rsidR="009C0115" w:rsidRPr="009C0115" w:rsidRDefault="009C0115" w:rsidP="00337444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головні розпорядники бюджетних коштів – виконавчі органи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 в особі їх керівників, які отримують повноваження шляхом встановлення бюджетн</w:t>
      </w:r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их призначень для виконання </w:t>
      </w:r>
      <w:proofErr w:type="spellStart"/>
      <w:r w:rsidR="00337444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ктів-переможців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lastRenderedPageBreak/>
        <w:t>ІІ. Визначення проблеми,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 розв’язання якої направлена програма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 сучасному громадянському суспільстві зросла соціальна активність людей та з’явились активісти, які мають бажання долучатись до вирішення проблем суспільства. У жителів виникають ідеї, як покращити благоустрій територій сіл та селищ, провести соціальні, культурно-мистецькі, спортивні заходи тощо. 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Соціальна активність суспільства вимагає створення дієвих інструментів співпраці та залучення громадськості до вирішення питань життєдіяльності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ради. 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Вдалим світовим досвідом щодо технології залучення громадян до процесу підготовки та прийняття рішень є Громадський  бюджет.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Затвердження Програми створить інструменти залучення громадян до бюджетного процесу, сприятиме запровадженню процесу демократичного обговорення та прийняття рішень, у якому жителі вирішуватимуть, як розподілити визна</w:t>
      </w:r>
      <w:r w:rsidR="00337444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чену частину бюджету сільської 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ради, що допоможе зміцнити довіру громадян до органів місцевого самоврядування.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2" w:name="95"/>
      <w:bookmarkEnd w:id="2"/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III. Мета програми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  <w:bookmarkStart w:id="3" w:name="96"/>
      <w:bookmarkEnd w:id="3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Проведення Бюджету  участі має сприяти налагодженню системного діалогу органів місцевого самоврядування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 із жителями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 w:eastAsia="zh-CN"/>
        </w:rPr>
        <w:t xml:space="preserve">, які постійно проживають у межах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  <w:t xml:space="preserve">  сільської  ради, створенню умов для участі жителів у реалізації повноважень, визначених Законом України «Про місцеве самоврядування в Україні».</w:t>
      </w:r>
    </w:p>
    <w:p w:rsidR="009C0115" w:rsidRPr="009C0115" w:rsidRDefault="009C0115" w:rsidP="009C011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zh-CN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4" w:name="97"/>
      <w:bookmarkEnd w:id="4"/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IV. Обґрунтування шляхів і засобів 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розв’язання проблеми, строки виконання програми  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5" w:name="98"/>
      <w:bookmarkEnd w:id="5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Вирішення проблеми здійснюється шляхом розроблення механізму взаємодії виконавчих органів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ради та громадян у бюджетному процесі, залучаючи жителів до процесу прийняття рішень на місцевому рівні та розв’язуючи найбільш нагальні проблеми сільської  ради.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Викона</w:t>
      </w:r>
      <w:r w:rsidR="00492B21">
        <w:rPr>
          <w:rFonts w:ascii="Times New Roman" w:eastAsia="Times New Roman" w:hAnsi="Times New Roman"/>
          <w:sz w:val="24"/>
          <w:szCs w:val="24"/>
          <w:lang w:val="uk-UA" w:eastAsia="ru-RU"/>
        </w:rPr>
        <w:t>ння Програми розраховано на 2022 - 2024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роки.</w:t>
      </w:r>
    </w:p>
    <w:p w:rsidR="009C0115" w:rsidRPr="009C0115" w:rsidRDefault="009C0115" w:rsidP="009C01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482B20" w:rsidP="003374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V. Завдання</w:t>
      </w:r>
    </w:p>
    <w:p w:rsidR="009C0115" w:rsidRPr="009C0115" w:rsidRDefault="009C0115" w:rsidP="009C01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Завдання програми:</w:t>
      </w:r>
    </w:p>
    <w:p w:rsidR="009C0115" w:rsidRPr="009C0115" w:rsidRDefault="00337444" w:rsidP="00482B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  <w:r w:rsidR="00482B20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Інформаційна і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промоційна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кампанія.</w:t>
      </w:r>
    </w:p>
    <w:p w:rsidR="009C0115" w:rsidRPr="009C0115" w:rsidRDefault="00337444" w:rsidP="009C0115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  Подання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9C011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Перевірка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9C0115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Голосування за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проє</w:t>
      </w:r>
      <w:r w:rsidR="009C0115"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кти</w:t>
      </w:r>
      <w:proofErr w:type="spellEnd"/>
      <w:r w:rsidR="009C0115"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та підрахунок результатів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9C0115" w:rsidRPr="009C0115" w:rsidRDefault="00337444" w:rsidP="00492B21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Реалізація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оцінка 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процесу.</w:t>
      </w:r>
    </w:p>
    <w:p w:rsidR="009C0115" w:rsidRPr="009C0115" w:rsidRDefault="009C0115" w:rsidP="009C011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VI.  Обсяги і джерела фінансування програми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Фінансування Програми здійснюється відповідно до діючого законодавства за рахунок коштів сільського бюджету за кодами тимчасової класифікації видатків та визначає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ться в рішенні «Про сільський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бюджет» на відповідний рік.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141823"/>
          <w:sz w:val="24"/>
          <w:szCs w:val="24"/>
          <w:shd w:val="clear" w:color="auto" w:fill="FFFFFF"/>
          <w:lang w:val="uk-UA" w:eastAsia="ru-RU"/>
        </w:rPr>
      </w:pP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Розмір суми Громадського бюджету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Прибужані</w:t>
      </w:r>
      <w:r w:rsidR="00C91D5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вської</w:t>
      </w:r>
      <w:proofErr w:type="spellEnd"/>
      <w:r w:rsidR="00C91D56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сільської  ради  на 2022-2024</w:t>
      </w:r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роки </w:t>
      </w:r>
      <w:r w:rsidRPr="009C0115">
        <w:rPr>
          <w:rFonts w:ascii="Times New Roman" w:eastAsia="Times New Roman" w:hAnsi="Times New Roman"/>
          <w:color w:val="141823"/>
          <w:sz w:val="24"/>
          <w:szCs w:val="24"/>
          <w:shd w:val="clear" w:color="auto" w:fill="FFFFFF"/>
          <w:lang w:val="uk-UA" w:eastAsia="ru-RU"/>
        </w:rPr>
        <w:t>визначається рішеннями про бюджет.</w:t>
      </w:r>
    </w:p>
    <w:p w:rsid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Головними розпорядниками коштів сільського  бюджету видатків на реалізацію Програми є виконавчі органи </w:t>
      </w:r>
      <w:proofErr w:type="spellStart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сільської  ради.</w:t>
      </w:r>
    </w:p>
    <w:p w:rsidR="00C91D56" w:rsidRDefault="00C91D56" w:rsidP="00C91D5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VIІ. Контроль за ходом виконання програми 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Програми здійснюють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сільська  рада, виконавчий комітет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ради, експертна група відповідно до повноважень.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Відповідальні виконавці в процесі виконання програми забезпечують цільове та ефективне використання бюджетних коштів протяг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 усього строку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ктів-переможців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Програми в межах визначених бюджетних призначень.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Виконавчі органи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 ради забезпечують контроль за проведенням інформаційної й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промоційної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компанії, дотриманням хронології бюджету участі, конкретних  етапів і дат проведення заходів, виконанням графіку проведення публічних дискусій про пріоритети розвитку сільської  ради.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Експертна група спільно із виконавчими органами контролює етап перевірки проекту, про що свідчитиму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ть заповнені картки аналізу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розміщення їх сканованих копій на с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айті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сільської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ради та підготовлений список позитивно і не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гативно оцінених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, блан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 для голосування з назвами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ктів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зазначенням сум на їх реалізацію.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Головні розпорядники бюджетних коштів в межах своїх повноважень здійснюють оцінку реалізації заходів Програми, що передбачає заходи з моніторингу, аналізу та контролю за цільовим та ефективним використанням бюджетних коштів. </w:t>
      </w:r>
    </w:p>
    <w:p w:rsidR="009C0115" w:rsidRPr="009C0115" w:rsidRDefault="009C0115" w:rsidP="009C0115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Головні розпорядники бюджетних коштів забезпечують ефективне використання коштів, виділених на реалізацію проектів-переможців, оприлюднюють звіти про виконання проектів, співпрацюю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чи протягом часу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авторами. Після реалізації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проє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кту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звіт, який включає фото та інші матеріали, розміщується на сайті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ради.  </w:t>
      </w:r>
    </w:p>
    <w:p w:rsidR="00CC4A96" w:rsidRDefault="00CC4A96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6" w:name="127"/>
      <w:bookmarkEnd w:id="6"/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VIІІ.  Очікувані результати виконання програми </w:t>
      </w:r>
    </w:p>
    <w:p w:rsidR="009C0115" w:rsidRPr="009C0115" w:rsidRDefault="009C0115" w:rsidP="009C0115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zh-CN"/>
        </w:rPr>
        <w:t>Очікуваними результатами виконання програми є: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створення ефективного механізму взаємодії виконавчих орга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нів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 жителів сіл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Прибужани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Яструбинове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Новопристань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Дмитрівка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Бакай,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Рюмівське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Новобілоусівка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Андрійчикове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Кам’яна Балка, Вокзал, Нове, Очаківське, Манне, Вільне,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Криворучка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Глюгове</w:t>
      </w:r>
      <w:proofErr w:type="spellEnd"/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селищ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Тімірязєвка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Новосілка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Мартинівське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бюджетному процесі;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залучення жителів до процесу прийняття рішень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формування довіри громадян до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підвищення відкритості діяльності органів місцевого самоврядування;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підвищення рівня прозорості</w:t>
      </w:r>
      <w:r w:rsidRPr="009C0115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процесу прийняття рішень шляхом надання жителям  сільської  ради  можливості безпосереднього впливу на бюджетну політику; </w:t>
      </w:r>
    </w:p>
    <w:p w:rsidR="009C0115" w:rsidRPr="009C0115" w:rsidRDefault="009C0115" w:rsidP="009C0115">
      <w:pPr>
        <w:numPr>
          <w:ilvl w:val="0"/>
          <w:numId w:val="7"/>
        </w:numPr>
        <w:tabs>
          <w:tab w:val="clear" w:pos="720"/>
          <w:tab w:val="left" w:pos="709"/>
        </w:tabs>
        <w:suppressAutoHyphens/>
        <w:spacing w:after="0" w:line="240" w:lineRule="atLeast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вирішення питань, які найбільш хвилюють жителів 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ради.</w:t>
      </w: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ІХ. Звітність про хід виконання Програми</w:t>
      </w:r>
    </w:p>
    <w:p w:rsidR="009C0115" w:rsidRPr="009C0115" w:rsidRDefault="009C0115" w:rsidP="009C01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482B20" w:rsidP="009C011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У кінці 2022, 2023, 2024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відповідальний виконавець Програми складає підсумковий звіт 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>про результати її виконання та в</w:t>
      </w:r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січні подає на розгляд до виконавчого органу </w:t>
      </w:r>
      <w:proofErr w:type="spellStart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="009C0115"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ради.</w:t>
      </w:r>
    </w:p>
    <w:p w:rsidR="009C0115" w:rsidRPr="009C0115" w:rsidRDefault="009C0115" w:rsidP="009C0115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Після закінчення встановленого строку виконання Програми відповідальний виконавець складає підсумковий звіт про результати її виконання та подає на розгляд до виконавчого органу </w:t>
      </w:r>
      <w:proofErr w:type="spellStart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Прибужанівської</w:t>
      </w:r>
      <w:proofErr w:type="spellEnd"/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сільської  ради разом із пояснювальною запискою.</w:t>
      </w: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9C0115" w:rsidRPr="009C0115" w:rsidRDefault="009C0115" w:rsidP="009C011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C0115">
        <w:rPr>
          <w:rFonts w:ascii="Times New Roman" w:eastAsia="Times New Roman" w:hAnsi="Times New Roman"/>
          <w:sz w:val="24"/>
          <w:szCs w:val="24"/>
          <w:lang w:val="uk-UA" w:eastAsia="ru-RU"/>
        </w:rPr>
        <w:t>Секрет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ар  ради:  </w:t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CC4A96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З.А. Алексєєва</w:t>
      </w:r>
    </w:p>
    <w:p w:rsidR="009C0115" w:rsidRPr="009C0115" w:rsidRDefault="009C0115" w:rsidP="009C0115">
      <w:pPr>
        <w:tabs>
          <w:tab w:val="left" w:pos="1701"/>
          <w:tab w:val="left" w:pos="6804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14783" w:rsidRPr="00902FD3" w:rsidRDefault="00D14783" w:rsidP="00920F5B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14783" w:rsidRPr="00902F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sz w:val="56"/>
        <w:szCs w:val="56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sz w:val="56"/>
        <w:szCs w:val="56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  <w:sz w:val="56"/>
        <w:szCs w:val="56"/>
        <w:lang w:val="uk-U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/>
        <w:sz w:val="56"/>
        <w:szCs w:val="56"/>
        <w:lang w:val="uk-U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  <w:b/>
        <w:sz w:val="56"/>
        <w:szCs w:val="56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  <w:b/>
        <w:sz w:val="56"/>
        <w:szCs w:val="56"/>
        <w:lang w:val="uk-U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  <w:b/>
        <w:sz w:val="56"/>
        <w:szCs w:val="56"/>
        <w:lang w:val="uk-U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  <w:b/>
        <w:sz w:val="56"/>
        <w:szCs w:val="56"/>
        <w:lang w:val="uk-U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  <w:b/>
        <w:sz w:val="56"/>
        <w:szCs w:val="56"/>
        <w:lang w:val="uk-UA"/>
      </w:rPr>
    </w:lvl>
  </w:abstractNum>
  <w:abstractNum w:abstractNumId="1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</w:abstractNum>
  <w:abstractNum w:abstractNumId="2">
    <w:nsid w:val="00000004"/>
    <w:multiLevelType w:val="single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00" w:hanging="360"/>
      </w:pPr>
      <w:rPr>
        <w:sz w:val="28"/>
        <w:szCs w:val="28"/>
      </w:rPr>
    </w:lvl>
  </w:abstractNum>
  <w:abstractNum w:abstractNumId="3">
    <w:nsid w:val="00000005"/>
    <w:multiLevelType w:val="singleLevel"/>
    <w:tmpl w:val="00000005"/>
    <w:name w:val="WW8Num10"/>
    <w:lvl w:ilvl="0">
      <w:start w:val="5"/>
      <w:numFmt w:val="bullet"/>
      <w:lvlText w:val="-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/>
        <w:b/>
        <w:sz w:val="28"/>
        <w:szCs w:val="28"/>
      </w:rPr>
    </w:lvl>
  </w:abstractNum>
  <w:abstractNum w:abstractNumId="4">
    <w:nsid w:val="00000006"/>
    <w:multiLevelType w:val="multilevel"/>
    <w:tmpl w:val="00000006"/>
    <w:name w:val="WW8Num13"/>
    <w:lvl w:ilvl="0">
      <w:start w:val="1"/>
      <w:numFmt w:val="decimal"/>
      <w:lvlText w:val="%1"/>
      <w:lvlJc w:val="left"/>
      <w:pPr>
        <w:tabs>
          <w:tab w:val="num" w:pos="0"/>
        </w:tabs>
        <w:ind w:left="900" w:hanging="360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00" w:hanging="2160"/>
      </w:pPr>
    </w:lvl>
  </w:abstractNum>
  <w:abstractNum w:abstractNumId="5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62ADA"/>
    <w:rsid w:val="0008408E"/>
    <w:rsid w:val="001A2194"/>
    <w:rsid w:val="00337444"/>
    <w:rsid w:val="00482B20"/>
    <w:rsid w:val="00492B21"/>
    <w:rsid w:val="004B4D31"/>
    <w:rsid w:val="004C6821"/>
    <w:rsid w:val="00590353"/>
    <w:rsid w:val="005E43EC"/>
    <w:rsid w:val="00612771"/>
    <w:rsid w:val="006C3B37"/>
    <w:rsid w:val="006C64A8"/>
    <w:rsid w:val="00804165"/>
    <w:rsid w:val="0089037F"/>
    <w:rsid w:val="008937EB"/>
    <w:rsid w:val="00902FD3"/>
    <w:rsid w:val="00920F5B"/>
    <w:rsid w:val="009251DB"/>
    <w:rsid w:val="0095490B"/>
    <w:rsid w:val="009904AB"/>
    <w:rsid w:val="009C0115"/>
    <w:rsid w:val="00A05DC5"/>
    <w:rsid w:val="00A638B8"/>
    <w:rsid w:val="00B41BC2"/>
    <w:rsid w:val="00B748DB"/>
    <w:rsid w:val="00C91D56"/>
    <w:rsid w:val="00CC4A96"/>
    <w:rsid w:val="00D14783"/>
    <w:rsid w:val="00E031B0"/>
    <w:rsid w:val="00E501E5"/>
    <w:rsid w:val="00E578B5"/>
    <w:rsid w:val="00E6534E"/>
    <w:rsid w:val="00E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51DB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6C64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E653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BD64-A300-4151-B7D7-D3178160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1908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2021-12-14T13:09:00Z</cp:lastPrinted>
  <dcterms:created xsi:type="dcterms:W3CDTF">2020-11-30T12:40:00Z</dcterms:created>
  <dcterms:modified xsi:type="dcterms:W3CDTF">2021-12-14T13:09:00Z</dcterms:modified>
</cp:coreProperties>
</file>