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46" w:rsidRPr="00031146" w:rsidRDefault="00031146" w:rsidP="0003114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9B6090" wp14:editId="7CD470C4">
            <wp:simplePos x="0" y="0"/>
            <wp:positionH relativeFrom="column">
              <wp:posOffset>2695575</wp:posOffset>
            </wp:positionH>
            <wp:positionV relativeFrom="paragraph">
              <wp:posOffset>-180340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</w:p>
    <w:p w:rsidR="00031146" w:rsidRPr="00031146" w:rsidRDefault="00D6010E" w:rsidP="000311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31146" w:rsidRPr="00031146" w:rsidRDefault="003C6571" w:rsidP="00031146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031146" w:rsidRPr="00031146">
        <w:rPr>
          <w:rFonts w:ascii="Times New Roman" w:hAnsi="Times New Roman" w:cs="Times New Roman"/>
          <w:sz w:val="28"/>
          <w:szCs w:val="28"/>
        </w:rPr>
        <w:t xml:space="preserve">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01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031146" w:rsidRPr="00031146" w:rsidRDefault="00E8761C" w:rsidP="000311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25</w:t>
      </w:r>
      <w:r w:rsidR="00D6010E">
        <w:rPr>
          <w:rFonts w:ascii="Times New Roman" w:hAnsi="Times New Roman" w:cs="Times New Roman"/>
          <w:sz w:val="28"/>
          <w:szCs w:val="28"/>
          <w:lang w:val="uk-UA"/>
        </w:rPr>
        <w:t xml:space="preserve"> лютого  2019  року       </w:t>
      </w:r>
      <w:r w:rsidR="00CB69C2">
        <w:rPr>
          <w:rFonts w:ascii="Times New Roman" w:hAnsi="Times New Roman" w:cs="Times New Roman"/>
          <w:sz w:val="28"/>
          <w:szCs w:val="28"/>
          <w:lang w:val="uk-UA"/>
        </w:rPr>
        <w:t>№ 10</w:t>
      </w:r>
      <w:r w:rsidR="00D6010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031146" w:rsidRPr="000311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</w:t>
      </w:r>
      <w:r w:rsidR="00D60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Про внесення змін до рішення </w:t>
      </w:r>
      <w:r w:rsidR="00BC5778">
        <w:rPr>
          <w:color w:val="333333"/>
          <w:sz w:val="28"/>
          <w:szCs w:val="28"/>
          <w:lang w:val="uk-UA"/>
        </w:rPr>
        <w:t>Х</w:t>
      </w:r>
      <w:r w:rsidR="00BC5778">
        <w:rPr>
          <w:color w:val="333333"/>
          <w:sz w:val="28"/>
          <w:szCs w:val="28"/>
          <w:lang w:val="en-US"/>
        </w:rPr>
        <w:t>V</w:t>
      </w:r>
      <w:r w:rsidR="00BC5778">
        <w:rPr>
          <w:color w:val="333333"/>
          <w:sz w:val="28"/>
          <w:szCs w:val="28"/>
          <w:lang w:val="uk-UA"/>
        </w:rPr>
        <w:t xml:space="preserve">ІІ сесії 8 скликання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«</w:t>
      </w:r>
      <w:r w:rsidR="00D35014" w:rsidRPr="007313CC">
        <w:rPr>
          <w:sz w:val="28"/>
          <w:szCs w:val="28"/>
        </w:rPr>
        <w:t xml:space="preserve">Про </w:t>
      </w:r>
      <w:proofErr w:type="spellStart"/>
      <w:r w:rsidR="00D35014" w:rsidRPr="007313CC">
        <w:rPr>
          <w:sz w:val="28"/>
          <w:szCs w:val="28"/>
        </w:rPr>
        <w:t>затвердження</w:t>
      </w:r>
      <w:proofErr w:type="spellEnd"/>
      <w:r w:rsidR="00D35014" w:rsidRPr="007313CC">
        <w:rPr>
          <w:sz w:val="28"/>
          <w:szCs w:val="28"/>
        </w:rPr>
        <w:t xml:space="preserve"> </w:t>
      </w:r>
      <w:proofErr w:type="spellStart"/>
      <w:r w:rsidR="00D35014" w:rsidRPr="007313CC">
        <w:rPr>
          <w:sz w:val="28"/>
          <w:szCs w:val="28"/>
        </w:rPr>
        <w:t>Положень</w:t>
      </w:r>
      <w:proofErr w:type="spellEnd"/>
      <w:r w:rsidR="00BC5778">
        <w:rPr>
          <w:sz w:val="28"/>
          <w:szCs w:val="28"/>
          <w:lang w:val="uk-UA"/>
        </w:rPr>
        <w:t xml:space="preserve"> </w:t>
      </w:r>
      <w:r w:rsidR="00DB361B">
        <w:rPr>
          <w:sz w:val="28"/>
          <w:szCs w:val="28"/>
          <w:lang w:val="uk-UA"/>
        </w:rPr>
        <w:t>та</w:t>
      </w:r>
      <w:r w:rsidR="00D35014" w:rsidRPr="007313CC">
        <w:rPr>
          <w:sz w:val="28"/>
          <w:szCs w:val="28"/>
        </w:rPr>
        <w:t xml:space="preserve"> ставок </w:t>
      </w:r>
    </w:p>
    <w:p w:rsidR="00C72B2E" w:rsidRPr="007313CC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proofErr w:type="spellStart"/>
      <w:proofErr w:type="gramStart"/>
      <w:r w:rsidRPr="007313CC">
        <w:rPr>
          <w:sz w:val="28"/>
          <w:szCs w:val="28"/>
        </w:rPr>
        <w:t>м</w:t>
      </w:r>
      <w:proofErr w:type="gramEnd"/>
      <w:r w:rsidRPr="007313CC">
        <w:rPr>
          <w:sz w:val="28"/>
          <w:szCs w:val="28"/>
        </w:rPr>
        <w:t>ісцевих</w:t>
      </w:r>
      <w:proofErr w:type="spellEnd"/>
      <w:r w:rsidRPr="007313CC">
        <w:rPr>
          <w:sz w:val="28"/>
          <w:szCs w:val="28"/>
        </w:rPr>
        <w:t xml:space="preserve"> </w:t>
      </w:r>
      <w:proofErr w:type="spellStart"/>
      <w:r w:rsidRPr="007313CC">
        <w:rPr>
          <w:sz w:val="28"/>
          <w:szCs w:val="28"/>
        </w:rPr>
        <w:t>податків</w:t>
      </w:r>
      <w:proofErr w:type="spellEnd"/>
      <w:r w:rsidRPr="007313CC">
        <w:rPr>
          <w:sz w:val="28"/>
          <w:szCs w:val="28"/>
        </w:rPr>
        <w:t xml:space="preserve"> і </w:t>
      </w:r>
      <w:proofErr w:type="spellStart"/>
      <w:r w:rsidRPr="007313CC">
        <w:rPr>
          <w:sz w:val="28"/>
          <w:szCs w:val="28"/>
        </w:rPr>
        <w:t>зборів</w:t>
      </w:r>
      <w:proofErr w:type="spellEnd"/>
      <w:r w:rsidRPr="007313CC">
        <w:rPr>
          <w:sz w:val="28"/>
          <w:szCs w:val="28"/>
        </w:rPr>
        <w:t xml:space="preserve"> на </w:t>
      </w:r>
      <w:proofErr w:type="spellStart"/>
      <w:r w:rsidRPr="007313CC">
        <w:rPr>
          <w:sz w:val="28"/>
          <w:szCs w:val="28"/>
        </w:rPr>
        <w:t>території</w:t>
      </w:r>
      <w:proofErr w:type="spellEnd"/>
      <w:r w:rsidRPr="007313CC">
        <w:rPr>
          <w:sz w:val="28"/>
          <w:szCs w:val="28"/>
        </w:rPr>
        <w:t xml:space="preserve"> </w:t>
      </w:r>
    </w:p>
    <w:p w:rsidR="00BC5778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proofErr w:type="spellStart"/>
      <w:r w:rsidRPr="00350DB6">
        <w:rPr>
          <w:sz w:val="28"/>
          <w:szCs w:val="28"/>
          <w:lang w:val="uk-UA"/>
        </w:rPr>
        <w:t>Прибужанівської</w:t>
      </w:r>
      <w:proofErr w:type="spellEnd"/>
      <w:r w:rsidRPr="007313CC">
        <w:rPr>
          <w:sz w:val="28"/>
          <w:szCs w:val="28"/>
        </w:rPr>
        <w:t> </w:t>
      </w:r>
      <w:r w:rsidRPr="00350DB6">
        <w:rPr>
          <w:sz w:val="28"/>
          <w:szCs w:val="28"/>
          <w:lang w:val="uk-UA"/>
        </w:rPr>
        <w:t xml:space="preserve"> </w:t>
      </w:r>
      <w:r w:rsidRPr="007313CC">
        <w:rPr>
          <w:sz w:val="28"/>
          <w:szCs w:val="28"/>
          <w:lang w:val="uk-UA"/>
        </w:rPr>
        <w:t>сільської ради на 2019</w:t>
      </w:r>
      <w:r w:rsidR="00064C88">
        <w:rPr>
          <w:sz w:val="28"/>
          <w:szCs w:val="28"/>
          <w:lang w:val="uk-UA"/>
        </w:rPr>
        <w:t xml:space="preserve"> рік</w:t>
      </w:r>
      <w:r w:rsidR="00031146">
        <w:rPr>
          <w:sz w:val="28"/>
          <w:szCs w:val="28"/>
          <w:lang w:val="uk-UA"/>
        </w:rPr>
        <w:t>»</w:t>
      </w:r>
      <w:r w:rsidR="00BC5778" w:rsidRPr="00BC5778">
        <w:rPr>
          <w:color w:val="333333"/>
          <w:sz w:val="28"/>
          <w:szCs w:val="28"/>
          <w:lang w:val="uk-UA"/>
        </w:rPr>
        <w:t xml:space="preserve"> </w:t>
      </w:r>
    </w:p>
    <w:p w:rsidR="00E121D4" w:rsidRPr="007313CC" w:rsidRDefault="00BC5778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від 13.07.2018 року № 4</w:t>
      </w:r>
    </w:p>
    <w:p w:rsidR="00E121D4" w:rsidRPr="007313CC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 </w:t>
      </w:r>
      <w:r w:rsidR="003F3A13" w:rsidRPr="007313C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D6010E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7313CC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7313CC">
        <w:rPr>
          <w:color w:val="333333"/>
          <w:sz w:val="28"/>
          <w:szCs w:val="28"/>
          <w:lang w:val="uk-UA"/>
        </w:rPr>
        <w:t xml:space="preserve">10 </w:t>
      </w:r>
      <w:r w:rsidR="003F3A13" w:rsidRPr="007313CC">
        <w:rPr>
          <w:color w:val="333333"/>
          <w:sz w:val="28"/>
          <w:szCs w:val="28"/>
          <w:lang w:val="uk-UA"/>
        </w:rPr>
        <w:t>пункту 12.3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ст.</w:t>
      </w:r>
      <w:r w:rsidR="00096FDA" w:rsidRPr="007313CC">
        <w:rPr>
          <w:color w:val="333333"/>
          <w:sz w:val="28"/>
          <w:szCs w:val="28"/>
          <w:lang w:val="uk-UA"/>
        </w:rPr>
        <w:t xml:space="preserve"> 12, абзацу</w:t>
      </w:r>
      <w:r w:rsidRPr="007313CC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7313CC">
        <w:rPr>
          <w:color w:val="333333"/>
          <w:sz w:val="28"/>
          <w:szCs w:val="28"/>
          <w:lang w:val="uk-UA"/>
        </w:rPr>
        <w:t>нкту 266.4.2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="00096FDA" w:rsidRPr="007313CC">
        <w:rPr>
          <w:color w:val="333333"/>
          <w:sz w:val="28"/>
          <w:szCs w:val="28"/>
          <w:lang w:val="uk-UA"/>
        </w:rPr>
        <w:t xml:space="preserve"> 266 та абзацу</w:t>
      </w:r>
      <w:r w:rsidRPr="007313CC">
        <w:rPr>
          <w:color w:val="333333"/>
          <w:sz w:val="28"/>
          <w:szCs w:val="28"/>
          <w:lang w:val="uk-UA"/>
        </w:rPr>
        <w:t xml:space="preserve"> другого</w:t>
      </w:r>
      <w:r w:rsidR="000832C4" w:rsidRPr="007313CC">
        <w:rPr>
          <w:color w:val="333333"/>
          <w:sz w:val="28"/>
          <w:szCs w:val="28"/>
          <w:lang w:val="uk-UA"/>
        </w:rPr>
        <w:t xml:space="preserve"> </w:t>
      </w:r>
      <w:r w:rsidR="00D6010E">
        <w:rPr>
          <w:color w:val="333333"/>
          <w:sz w:val="28"/>
          <w:szCs w:val="28"/>
          <w:lang w:val="uk-UA"/>
        </w:rPr>
        <w:t xml:space="preserve">пункту 284.1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Pr="007313CC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7313CC">
        <w:rPr>
          <w:color w:val="333333"/>
          <w:sz w:val="28"/>
          <w:szCs w:val="28"/>
          <w:lang w:val="uk-UA"/>
        </w:rPr>
        <w:t>пунктом 24 частини першої ст.</w:t>
      </w:r>
      <w:r w:rsidRPr="007313CC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7313CC">
        <w:rPr>
          <w:color w:val="333333"/>
          <w:sz w:val="28"/>
          <w:szCs w:val="28"/>
          <w:lang w:val="uk-UA"/>
        </w:rPr>
        <w:t>», сесія сільської</w:t>
      </w:r>
      <w:r w:rsidR="00B26127" w:rsidRPr="007313CC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7313CC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ВИРІШИЛА:</w:t>
      </w:r>
    </w:p>
    <w:p w:rsidR="00F403CB" w:rsidRPr="003C6571" w:rsidRDefault="00924C9B" w:rsidP="0003114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>Внести зміни до Додатку 1</w:t>
      </w:r>
      <w:r w:rsidR="00F403CB" w:rsidRPr="007313CC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«</w:t>
      </w:r>
      <w:r w:rsidR="00F403CB" w:rsidRPr="007313CC">
        <w:rPr>
          <w:color w:val="333333"/>
          <w:sz w:val="28"/>
          <w:szCs w:val="28"/>
          <w:lang w:val="uk-UA"/>
        </w:rPr>
        <w:t>Ставки земельного податку  на 2019 рік, введ</w:t>
      </w:r>
      <w:r w:rsidR="00D6010E">
        <w:rPr>
          <w:color w:val="333333"/>
          <w:sz w:val="28"/>
          <w:szCs w:val="28"/>
          <w:lang w:val="uk-UA"/>
        </w:rPr>
        <w:t>ені в дію з 1 січня 2019 року</w:t>
      </w:r>
      <w:r>
        <w:rPr>
          <w:color w:val="333333"/>
          <w:sz w:val="28"/>
          <w:szCs w:val="28"/>
          <w:lang w:val="uk-UA"/>
        </w:rPr>
        <w:t xml:space="preserve">» : </w:t>
      </w:r>
    </w:p>
    <w:p w:rsidR="003C6571" w:rsidRPr="003C6571" w:rsidRDefault="003C6571" w:rsidP="003C6571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tbl>
      <w:tblPr>
        <w:tblW w:w="96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4611"/>
        <w:gridCol w:w="67"/>
        <w:gridCol w:w="992"/>
        <w:gridCol w:w="21"/>
        <w:gridCol w:w="1080"/>
        <w:gridCol w:w="33"/>
        <w:gridCol w:w="1047"/>
        <w:gridCol w:w="1080"/>
      </w:tblGrid>
      <w:tr w:rsidR="003C6571" w:rsidRPr="007313CC" w:rsidTr="003C6571">
        <w:tc>
          <w:tcPr>
            <w:tcW w:w="5320" w:type="dxa"/>
            <w:gridSpan w:val="2"/>
            <w:vMerge w:val="restart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цільового призначення земель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 xml:space="preserve"> 3</w:t>
            </w:r>
          </w:p>
        </w:tc>
        <w:tc>
          <w:tcPr>
            <w:tcW w:w="4320" w:type="dxa"/>
            <w:gridSpan w:val="7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4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 xml:space="preserve">(% нормативної грошової оцінки) </w:t>
            </w:r>
          </w:p>
        </w:tc>
      </w:tr>
      <w:tr w:rsidR="003C6571" w:rsidRPr="007313CC" w:rsidTr="003C6571">
        <w:tc>
          <w:tcPr>
            <w:tcW w:w="5320" w:type="dxa"/>
            <w:gridSpan w:val="2"/>
            <w:vMerge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3C6571" w:rsidRPr="007313CC" w:rsidTr="003C6571">
        <w:tc>
          <w:tcPr>
            <w:tcW w:w="709" w:type="dxa"/>
            <w:shd w:val="clear" w:color="auto" w:fill="auto"/>
          </w:tcPr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4611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924C9B" w:rsidRPr="00652DA1" w:rsidTr="003C6571">
        <w:tc>
          <w:tcPr>
            <w:tcW w:w="709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02.05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924C9B" w:rsidRPr="00652DA1" w:rsidRDefault="00924C9B" w:rsidP="00924C9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будівництва індивідуальних гаражів </w:t>
            </w:r>
          </w:p>
        </w:tc>
        <w:tc>
          <w:tcPr>
            <w:tcW w:w="992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  <w:tc>
          <w:tcPr>
            <w:tcW w:w="1047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</w:tr>
      <w:tr w:rsidR="00924C9B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02.06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924C9B" w:rsidRPr="00652DA1" w:rsidRDefault="00924C9B" w:rsidP="00924C9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колективного гаражного будівництва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  <w:tc>
          <w:tcPr>
            <w:tcW w:w="1047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</w:tr>
    </w:tbl>
    <w:p w:rsidR="00924C9B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3C6571" w:rsidRDefault="003C6571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924C9B" w:rsidRPr="003C6571" w:rsidRDefault="00924C9B" w:rsidP="00924C9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lastRenderedPageBreak/>
        <w:t>Внести зміни до Додатку 3</w:t>
      </w:r>
      <w:r w:rsidR="00D71828" w:rsidRPr="007313CC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«</w:t>
      </w:r>
      <w:r w:rsidR="00D71828" w:rsidRPr="007313CC">
        <w:rPr>
          <w:noProof/>
          <w:sz w:val="28"/>
          <w:szCs w:val="28"/>
          <w:lang w:val="uk-UA"/>
        </w:rPr>
        <w:t>Ставки</w:t>
      </w:r>
      <w:r w:rsidR="00C0797C" w:rsidRPr="007313CC">
        <w:rPr>
          <w:noProof/>
          <w:sz w:val="28"/>
          <w:szCs w:val="28"/>
          <w:lang w:val="uk-UA"/>
        </w:rPr>
        <w:t xml:space="preserve"> </w:t>
      </w:r>
      <w:r w:rsidR="00D71828" w:rsidRPr="007313CC">
        <w:rPr>
          <w:noProof/>
          <w:sz w:val="28"/>
          <w:szCs w:val="28"/>
        </w:rPr>
        <w:t>податку на нерухоме майно, відмінне від земельної ділянки</w:t>
      </w:r>
      <w:r>
        <w:rPr>
          <w:noProof/>
          <w:sz w:val="28"/>
          <w:szCs w:val="28"/>
          <w:lang w:val="uk-UA"/>
        </w:rPr>
        <w:t>»</w:t>
      </w:r>
      <w:r>
        <w:rPr>
          <w:color w:val="333333"/>
          <w:sz w:val="28"/>
          <w:szCs w:val="28"/>
          <w:lang w:val="uk-UA"/>
        </w:rPr>
        <w:t xml:space="preserve">: </w:t>
      </w:r>
    </w:p>
    <w:p w:rsidR="003C6571" w:rsidRPr="003C6571" w:rsidRDefault="003C6571" w:rsidP="003C6571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0"/>
        <w:gridCol w:w="3544"/>
        <w:gridCol w:w="706"/>
        <w:gridCol w:w="62"/>
        <w:gridCol w:w="789"/>
        <w:gridCol w:w="30"/>
        <w:gridCol w:w="823"/>
        <w:gridCol w:w="952"/>
        <w:gridCol w:w="38"/>
        <w:gridCol w:w="779"/>
        <w:gridCol w:w="72"/>
        <w:gridCol w:w="736"/>
      </w:tblGrid>
      <w:tr w:rsidR="003C6571" w:rsidRPr="007313CC" w:rsidTr="003C6571">
        <w:tc>
          <w:tcPr>
            <w:tcW w:w="2351" w:type="pct"/>
            <w:gridSpan w:val="2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Класифікація будівель та споруд </w:t>
            </w:r>
            <w:r w:rsidRPr="007313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  <w:t>(відповідно до Державного класифікатора будівель та споруд ДК 018-2000, затвердженого наказом Державного комітету України по стандартизації, метрології та сертифікації від 17.08.2000 р. № 507)</w:t>
            </w:r>
          </w:p>
        </w:tc>
        <w:tc>
          <w:tcPr>
            <w:tcW w:w="2649" w:type="pct"/>
            <w:gridSpan w:val="10"/>
            <w:shd w:val="clear" w:color="auto" w:fill="auto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7313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  <w:t>(у % від розміру мінімальної заробітної плати)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1 кв. метр</w:t>
            </w:r>
          </w:p>
        </w:tc>
      </w:tr>
      <w:tr w:rsidR="003C6571" w:rsidRPr="007313CC" w:rsidTr="003C6571">
        <w:tc>
          <w:tcPr>
            <w:tcW w:w="468" w:type="pct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28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369" w:type="pct"/>
            <w:gridSpan w:val="5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фізичних осіб </w:t>
            </w: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(в т. ч. ФОП)</w:t>
            </w:r>
          </w:p>
        </w:tc>
      </w:tr>
      <w:tr w:rsidR="003C6571" w:rsidRPr="007313CC" w:rsidTr="003C6571">
        <w:tc>
          <w:tcPr>
            <w:tcW w:w="468" w:type="pct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pct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1 зона*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зона*</w:t>
            </w:r>
          </w:p>
        </w:tc>
        <w:tc>
          <w:tcPr>
            <w:tcW w:w="437" w:type="pct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зона*</w:t>
            </w:r>
          </w:p>
        </w:tc>
        <w:tc>
          <w:tcPr>
            <w:tcW w:w="506" w:type="pct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зона*</w:t>
            </w:r>
          </w:p>
        </w:tc>
        <w:tc>
          <w:tcPr>
            <w:tcW w:w="434" w:type="pct"/>
            <w:gridSpan w:val="2"/>
            <w:vAlign w:val="center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зона*</w:t>
            </w:r>
          </w:p>
        </w:tc>
        <w:tc>
          <w:tcPr>
            <w:tcW w:w="429" w:type="pct"/>
            <w:gridSpan w:val="2"/>
          </w:tcPr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3C6571" w:rsidRPr="007313CC" w:rsidRDefault="003C6571" w:rsidP="00ED42A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зона*</w:t>
            </w:r>
          </w:p>
        </w:tc>
      </w:tr>
      <w:tr w:rsidR="00924C9B" w:rsidRPr="007313CC" w:rsidTr="003C6571">
        <w:tc>
          <w:tcPr>
            <w:tcW w:w="468" w:type="pct"/>
            <w:shd w:val="clear" w:color="auto" w:fill="auto"/>
            <w:vAlign w:val="center"/>
          </w:tcPr>
          <w:p w:rsidR="00924C9B" w:rsidRPr="007313CC" w:rsidRDefault="00924C9B" w:rsidP="0072791C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1241</w:t>
            </w: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924C9B" w:rsidRPr="007313CC" w:rsidRDefault="00924C9B" w:rsidP="0072791C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Вокзали, аеровокзали, будівлі засобів зв'язку та пов'язані з ними будівлі</w:t>
            </w: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75" w:type="pct"/>
            <w:shd w:val="clear" w:color="auto" w:fill="auto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53" w:type="pct"/>
            <w:gridSpan w:val="2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526" w:type="pct"/>
            <w:gridSpan w:val="2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52" w:type="pct"/>
            <w:gridSpan w:val="2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91" w:type="pct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924C9B" w:rsidRPr="00F403CB" w:rsidTr="003C6571">
        <w:tc>
          <w:tcPr>
            <w:tcW w:w="468" w:type="pct"/>
            <w:shd w:val="clear" w:color="auto" w:fill="auto"/>
            <w:vAlign w:val="center"/>
          </w:tcPr>
          <w:p w:rsidR="00924C9B" w:rsidRPr="00F403CB" w:rsidRDefault="00924C9B" w:rsidP="0072791C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1241.2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924C9B" w:rsidRPr="00F403CB" w:rsidRDefault="00924C9B" w:rsidP="0072791C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Вокзали та інші будівлі залізничного транспорту </w:t>
            </w:r>
          </w:p>
        </w:tc>
        <w:tc>
          <w:tcPr>
            <w:tcW w:w="375" w:type="pct"/>
            <w:shd w:val="clear" w:color="auto" w:fill="auto"/>
          </w:tcPr>
          <w:p w:rsidR="00924C9B" w:rsidRPr="00F403CB" w:rsidRDefault="007368B5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53" w:type="pct"/>
            <w:gridSpan w:val="2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26" w:type="pct"/>
            <w:gridSpan w:val="2"/>
          </w:tcPr>
          <w:p w:rsidR="00924C9B" w:rsidRPr="00F403CB" w:rsidRDefault="007368B5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0,3</w:t>
            </w:r>
          </w:p>
        </w:tc>
        <w:tc>
          <w:tcPr>
            <w:tcW w:w="452" w:type="pct"/>
            <w:gridSpan w:val="2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91" w:type="pct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CA3488" w:rsidRPr="00CA3488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                   </w:t>
      </w:r>
      <w:r w:rsidR="00C72B2E" w:rsidRPr="00031146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color w:val="333333"/>
          <w:sz w:val="28"/>
          <w:szCs w:val="28"/>
          <w:lang w:val="uk-UA"/>
        </w:rPr>
        <w:t>3</w:t>
      </w:r>
      <w:r w:rsidR="00D47A3E" w:rsidRPr="00031146">
        <w:rPr>
          <w:color w:val="333333"/>
          <w:sz w:val="28"/>
          <w:szCs w:val="28"/>
          <w:lang w:val="uk-UA"/>
        </w:rPr>
        <w:t>. Рішення набирає чинності 01.0</w:t>
      </w:r>
      <w:r w:rsidR="00031146">
        <w:rPr>
          <w:color w:val="333333"/>
          <w:sz w:val="28"/>
          <w:szCs w:val="28"/>
          <w:lang w:val="uk-UA"/>
        </w:rPr>
        <w:t>3</w:t>
      </w:r>
      <w:r w:rsidR="00D47A3E" w:rsidRPr="00031146">
        <w:rPr>
          <w:color w:val="333333"/>
          <w:sz w:val="28"/>
          <w:szCs w:val="28"/>
          <w:lang w:val="uk-UA"/>
        </w:rPr>
        <w:t>.201</w:t>
      </w:r>
      <w:r w:rsidR="00431B38" w:rsidRPr="00031146">
        <w:rPr>
          <w:color w:val="333333"/>
          <w:sz w:val="28"/>
          <w:szCs w:val="28"/>
          <w:lang w:val="uk-UA"/>
        </w:rPr>
        <w:t>9</w:t>
      </w:r>
      <w:r w:rsidR="00D47A3E" w:rsidRPr="00031146">
        <w:rPr>
          <w:color w:val="333333"/>
          <w:sz w:val="28"/>
          <w:szCs w:val="28"/>
          <w:lang w:val="uk-UA"/>
        </w:rPr>
        <w:t xml:space="preserve"> року.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F3A13" w:rsidRPr="00031146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031146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031146">
        <w:rPr>
          <w:bCs/>
          <w:color w:val="333333"/>
          <w:sz w:val="28"/>
          <w:szCs w:val="28"/>
          <w:lang w:val="uk-UA"/>
        </w:rPr>
        <w:t>.</w:t>
      </w:r>
      <w:r w:rsidR="00C72B2E" w:rsidRPr="00031146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031146">
        <w:rPr>
          <w:color w:val="333333"/>
          <w:sz w:val="28"/>
          <w:szCs w:val="28"/>
          <w:lang w:val="uk-UA"/>
        </w:rPr>
        <w:tab/>
      </w:r>
    </w:p>
    <w:p w:rsidR="00CA3488" w:rsidRPr="00CA3488" w:rsidRDefault="00CA3488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p w:rsidR="001C58F2" w:rsidRPr="00031146" w:rsidRDefault="00D6010E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 w:rsidR="00E121D4" w:rsidRPr="00031146">
        <w:rPr>
          <w:color w:val="333333"/>
          <w:sz w:val="28"/>
          <w:szCs w:val="28"/>
          <w:lang w:val="uk-UA"/>
        </w:rPr>
        <w:t>Сільський голова</w:t>
      </w:r>
      <w:r>
        <w:rPr>
          <w:color w:val="333333"/>
          <w:sz w:val="28"/>
          <w:szCs w:val="28"/>
          <w:lang w:val="uk-UA"/>
        </w:rPr>
        <w:t>:</w:t>
      </w:r>
      <w:r w:rsidR="00E121D4" w:rsidRPr="00031146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</w:t>
      </w:r>
      <w:r w:rsidR="00D47A3E" w:rsidRPr="00031146">
        <w:rPr>
          <w:color w:val="333333"/>
          <w:sz w:val="28"/>
          <w:szCs w:val="28"/>
          <w:lang w:val="uk-UA"/>
        </w:rPr>
        <w:t xml:space="preserve"> </w:t>
      </w:r>
      <w:r w:rsidR="00E121D4" w:rsidRPr="00031146">
        <w:rPr>
          <w:color w:val="333333"/>
          <w:sz w:val="28"/>
          <w:szCs w:val="28"/>
          <w:lang w:val="uk-UA"/>
        </w:rPr>
        <w:t> </w:t>
      </w: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sectPr w:rsidR="00CA3488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5CFE"/>
    <w:rsid w:val="00031146"/>
    <w:rsid w:val="00064C88"/>
    <w:rsid w:val="000832C4"/>
    <w:rsid w:val="00096FDA"/>
    <w:rsid w:val="0015459E"/>
    <w:rsid w:val="00177CFE"/>
    <w:rsid w:val="001C58F2"/>
    <w:rsid w:val="001D174A"/>
    <w:rsid w:val="001E1FB8"/>
    <w:rsid w:val="00227FC2"/>
    <w:rsid w:val="00264170"/>
    <w:rsid w:val="002A39ED"/>
    <w:rsid w:val="002F1086"/>
    <w:rsid w:val="003142F2"/>
    <w:rsid w:val="0033678D"/>
    <w:rsid w:val="00350DB6"/>
    <w:rsid w:val="00352A14"/>
    <w:rsid w:val="003C6571"/>
    <w:rsid w:val="003F3A13"/>
    <w:rsid w:val="003F3F5A"/>
    <w:rsid w:val="00430E17"/>
    <w:rsid w:val="00431B38"/>
    <w:rsid w:val="00440F0A"/>
    <w:rsid w:val="00465CD5"/>
    <w:rsid w:val="00481458"/>
    <w:rsid w:val="00501B9A"/>
    <w:rsid w:val="00531F58"/>
    <w:rsid w:val="00544B68"/>
    <w:rsid w:val="00577625"/>
    <w:rsid w:val="00593D65"/>
    <w:rsid w:val="005F636D"/>
    <w:rsid w:val="005F70D8"/>
    <w:rsid w:val="00625A1B"/>
    <w:rsid w:val="00652DA1"/>
    <w:rsid w:val="006B08F0"/>
    <w:rsid w:val="006B30E9"/>
    <w:rsid w:val="00706DBB"/>
    <w:rsid w:val="007313CC"/>
    <w:rsid w:val="007368B5"/>
    <w:rsid w:val="007620CB"/>
    <w:rsid w:val="00794014"/>
    <w:rsid w:val="00794A6C"/>
    <w:rsid w:val="00813E66"/>
    <w:rsid w:val="00846DC9"/>
    <w:rsid w:val="008D24D9"/>
    <w:rsid w:val="008E0AEB"/>
    <w:rsid w:val="008F6653"/>
    <w:rsid w:val="00901FE8"/>
    <w:rsid w:val="0090291E"/>
    <w:rsid w:val="00906A0A"/>
    <w:rsid w:val="00924C9B"/>
    <w:rsid w:val="009552CA"/>
    <w:rsid w:val="009A597A"/>
    <w:rsid w:val="009F3922"/>
    <w:rsid w:val="00A6206E"/>
    <w:rsid w:val="00AB564F"/>
    <w:rsid w:val="00AE5FEB"/>
    <w:rsid w:val="00B26127"/>
    <w:rsid w:val="00B41EF3"/>
    <w:rsid w:val="00B45B97"/>
    <w:rsid w:val="00BC0EAD"/>
    <w:rsid w:val="00BC5778"/>
    <w:rsid w:val="00BC65AF"/>
    <w:rsid w:val="00BD604B"/>
    <w:rsid w:val="00BE6097"/>
    <w:rsid w:val="00BF4B5D"/>
    <w:rsid w:val="00C059C4"/>
    <w:rsid w:val="00C0797C"/>
    <w:rsid w:val="00C457B1"/>
    <w:rsid w:val="00C72B2E"/>
    <w:rsid w:val="00CA3488"/>
    <w:rsid w:val="00CB2397"/>
    <w:rsid w:val="00CB69C2"/>
    <w:rsid w:val="00CF282D"/>
    <w:rsid w:val="00D35014"/>
    <w:rsid w:val="00D47A3E"/>
    <w:rsid w:val="00D6010E"/>
    <w:rsid w:val="00D71828"/>
    <w:rsid w:val="00DB3335"/>
    <w:rsid w:val="00DB361B"/>
    <w:rsid w:val="00DC485D"/>
    <w:rsid w:val="00E059DE"/>
    <w:rsid w:val="00E121D4"/>
    <w:rsid w:val="00E2471C"/>
    <w:rsid w:val="00E24DF6"/>
    <w:rsid w:val="00E52426"/>
    <w:rsid w:val="00E62A05"/>
    <w:rsid w:val="00E66E50"/>
    <w:rsid w:val="00E80904"/>
    <w:rsid w:val="00E8761C"/>
    <w:rsid w:val="00E963E5"/>
    <w:rsid w:val="00EA561A"/>
    <w:rsid w:val="00EA6FCF"/>
    <w:rsid w:val="00EB02AF"/>
    <w:rsid w:val="00ED123E"/>
    <w:rsid w:val="00EF6B27"/>
    <w:rsid w:val="00F03683"/>
    <w:rsid w:val="00F0485F"/>
    <w:rsid w:val="00F137A6"/>
    <w:rsid w:val="00F17A2D"/>
    <w:rsid w:val="00F403CB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8411-A9BE-4D78-A55A-A81F7CEB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95</cp:revision>
  <cp:lastPrinted>2019-02-25T14:42:00Z</cp:lastPrinted>
  <dcterms:created xsi:type="dcterms:W3CDTF">2017-07-10T05:47:00Z</dcterms:created>
  <dcterms:modified xsi:type="dcterms:W3CDTF">2019-02-25T14:43:00Z</dcterms:modified>
</cp:coreProperties>
</file>