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CF" w:rsidRDefault="004728CF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43EA" w:rsidRPr="004728CF" w:rsidRDefault="002A7D30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46CBA8E6" wp14:editId="0E1B6BFB">
            <wp:simplePos x="0" y="0"/>
            <wp:positionH relativeFrom="column">
              <wp:posOffset>2743200</wp:posOffset>
            </wp:positionH>
            <wp:positionV relativeFrom="paragraph">
              <wp:posOffset>-308610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EA" w:rsidRPr="004728CF" w:rsidRDefault="008243EA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4728CF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22566" w:rsidRPr="004728CF" w:rsidRDefault="00722566" w:rsidP="00722566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ПРИБУЖАНІВСЬКА СІЛЬСЬКА РАДА</w:t>
      </w:r>
    </w:p>
    <w:p w:rsidR="00722566" w:rsidRPr="004728CF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22566" w:rsidRPr="004728CF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7D30" w:rsidRPr="004728CF" w:rsidRDefault="002A7D30" w:rsidP="001A4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  <w:bookmarkStart w:id="0" w:name="_GoBack"/>
      <w:bookmarkEnd w:id="0"/>
    </w:p>
    <w:p w:rsidR="002A7D30" w:rsidRPr="004728CF" w:rsidRDefault="002A7D30" w:rsidP="002A7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D30" w:rsidRPr="004728CF" w:rsidRDefault="001A41F3" w:rsidP="002A7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11.04.2017     № 17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І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сесія 8 скликання</w:t>
      </w:r>
    </w:p>
    <w:p w:rsidR="002A7D30" w:rsidRPr="004728CF" w:rsidRDefault="002A7D30" w:rsidP="002A7D30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722566" w:rsidRPr="004728CF" w:rsidRDefault="00722566" w:rsidP="002A7D30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внесення змін до рішення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</w:t>
      </w:r>
      <w:r w:rsid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    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Новосілківської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08 червня  2016 року № 6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</w:t>
      </w:r>
      <w:r w:rsid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«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податок на нерухоме майно, відмінне від земельної 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</w:t>
      </w:r>
      <w:r w:rsid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ділянки для об’єктів нежитлової нерухомості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</w:p>
    <w:p w:rsidR="00722566" w:rsidRPr="004728CF" w:rsidRDefault="00722566" w:rsidP="002A7D3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Закону України від 21.12.2016р. №1791-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Податкового кодексу України та деяких законодавчих актів України щодо забезпечення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збалансованості бюджетних надходжень у 2017 році», Закону України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ід 21.12.2016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№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1797-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 Податкового кодексу України щодо покращення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інвестиційного клімату в Україні», Закон України «Про державний бюджет України на 2017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рік»,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265.1.1 п.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 ст. 265, ст.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266 розділом ХІІ Податкового кодексу України. та на підставі ст. 26, 59 Закону України «Про місцеве самоврядування», сільська рада</w:t>
      </w:r>
    </w:p>
    <w:p w:rsidR="00722566" w:rsidRPr="004728CF" w:rsidRDefault="00722566" w:rsidP="002A7D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ВИРІШИЛА:</w:t>
      </w:r>
    </w:p>
    <w:p w:rsidR="002A7D30" w:rsidRPr="004728CF" w:rsidRDefault="00722566" w:rsidP="002A7D30">
      <w:pPr>
        <w:pStyle w:val="a4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Продовжити дію на території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Новосілківської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податку на нерухоме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айно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відмінне від земельної ділянки для об’єктів нежитлової нерухомості з 01.01.2017 року.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2A7D30" w:rsidRPr="004728CF" w:rsidRDefault="00722566" w:rsidP="002A7D30">
      <w:pPr>
        <w:pStyle w:val="a4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Установити, що з 1 січня 2017 року до встановлених ставок  податку на нерухоме майно, відмінне від земельної ділянки  застосовуються коефіцієнт 0,5.</w:t>
      </w:r>
      <w:r w:rsidR="002A7D30"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722566" w:rsidRPr="004728CF" w:rsidRDefault="00722566" w:rsidP="002A7D30">
      <w:pPr>
        <w:pStyle w:val="a4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lang w:val="uk-UA"/>
        </w:rPr>
        <w:t>Доповнити  рішення</w:t>
      </w:r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Новосілківської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08 червня  2016 року № 6 Про податок на нерухоме майно, відмінне від земельної ділянки для об’єктів нежитлової нерухомості наступними пунктами: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lang w:val="uk-UA"/>
        </w:rPr>
        <w:t>п. 2 Не є об’єктом оподаткування: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lang w:val="uk-UA"/>
        </w:rPr>
        <w:t>а) об’єкти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lang w:val="uk-UA"/>
        </w:rPr>
        <w:t>б) об’єкти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суб’єктами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малого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середнього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бізнесу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провадять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малих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ітектурних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формах та на ринках;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є)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728C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виробничі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корпуси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цехи,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складські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промислових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lastRenderedPageBreak/>
        <w:t xml:space="preserve">ж)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728C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сільськогосподарських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товаровиробників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призначені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сільськогосподарській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з)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2A7D30">
      <w:pPr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и)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ігійних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статути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зареєстровано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законом порядку,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виключно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їхньої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статутної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включаючи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засновані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такими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релігійними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добродійні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притулки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інтернати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лікарні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виробнича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господарська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і)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728C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загальноосвітніх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ї)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санаторно-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курортних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санаторно-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курортних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внесені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органом до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й)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майстерності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фізичного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і спорту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дитячо-юнацьких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майстерності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дитячо-юнацьких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фізкультурно-спортивних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товариств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осередків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відокремлених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ідрозділів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включені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</w:rPr>
        <w:t xml:space="preserve">к)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баз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паралімпійської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таких баз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Кабінетом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4728CF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lang w:val="uk-UA"/>
        </w:rPr>
        <w:t xml:space="preserve"> п. 3 Порядок обчислення суми податку: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8CF">
        <w:rPr>
          <w:rFonts w:ascii="Times New Roman" w:hAnsi="Times New Roman" w:cs="Times New Roman"/>
          <w:sz w:val="24"/>
          <w:szCs w:val="24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28CF">
        <w:rPr>
          <w:rFonts w:ascii="Times New Roman" w:hAnsi="Times New Roman" w:cs="Times New Roman"/>
          <w:sz w:val="24"/>
          <w:szCs w:val="24"/>
        </w:rPr>
        <w:lastRenderedPageBreak/>
        <w:t>Платники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обчислюють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станом на 1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року і до 20 лютого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ж року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подають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контролюючому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органу за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місцезнаходженням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декларацію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за </w:t>
      </w:r>
      <w:hyperlink r:id="rId8" w:anchor="n15" w:tgtFrame="_blank" w:history="1">
        <w:r w:rsidRPr="004728C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формою</w:t>
        </w:r>
      </w:hyperlink>
      <w:r w:rsidRPr="004728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встановленою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73E68" w:rsidRPr="004728CF">
        <w:fldChar w:fldCharType="begin"/>
      </w:r>
      <w:r w:rsidR="00573E68" w:rsidRPr="004728CF">
        <w:rPr>
          <w:sz w:val="24"/>
          <w:szCs w:val="24"/>
        </w:rPr>
        <w:instrText xml:space="preserve"> HYPERLINK "http://zakon3.rada.gov.ua/laws/show/2755-17/print1445258969790382" \l "n1144" </w:instrText>
      </w:r>
      <w:r w:rsidR="00573E68" w:rsidRPr="004728CF">
        <w:fldChar w:fldCharType="separate"/>
      </w:r>
      <w:r w:rsidRPr="004728C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статтею</w:t>
      </w:r>
      <w:proofErr w:type="spellEnd"/>
      <w:r w:rsidRPr="004728C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46</w:t>
      </w:r>
      <w:r w:rsidR="00573E68" w:rsidRPr="004728C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Pr="004728C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Кодексу,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розбивкою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728C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рівними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частками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поквартально.</w:t>
      </w:r>
    </w:p>
    <w:p w:rsidR="00722566" w:rsidRPr="004728CF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новоствореного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нововведеного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28CF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8CF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728CF">
        <w:rPr>
          <w:rFonts w:ascii="Times New Roman" w:hAnsi="Times New Roman" w:cs="Times New Roman"/>
          <w:sz w:val="24"/>
          <w:szCs w:val="24"/>
        </w:rPr>
        <w:t>.</w:t>
      </w:r>
    </w:p>
    <w:p w:rsidR="00722566" w:rsidRPr="004728CF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4 </w:t>
      </w:r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Строки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</w:p>
    <w:p w:rsidR="00722566" w:rsidRPr="004728CF" w:rsidRDefault="00722566" w:rsidP="00722566">
      <w:pPr>
        <w:shd w:val="clear" w:color="auto" w:fill="FFFFFF"/>
        <w:spacing w:after="0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зобов’язання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-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авансовими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внесками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числа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наступає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кварталом,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відображаються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річній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податковій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декларації</w:t>
      </w:r>
      <w:proofErr w:type="spellEnd"/>
      <w:r w:rsidRPr="004728C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A7D30" w:rsidRPr="00472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sectPr w:rsidR="00722566" w:rsidRPr="0047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78A"/>
    <w:multiLevelType w:val="hybridMultilevel"/>
    <w:tmpl w:val="431C0A18"/>
    <w:lvl w:ilvl="0" w:tplc="066EF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F7BF1"/>
    <w:multiLevelType w:val="hybridMultilevel"/>
    <w:tmpl w:val="2BB62AC4"/>
    <w:lvl w:ilvl="0" w:tplc="A7C4A1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4"/>
    <w:rsid w:val="00066B02"/>
    <w:rsid w:val="00164FC5"/>
    <w:rsid w:val="001A41F3"/>
    <w:rsid w:val="001D4E9A"/>
    <w:rsid w:val="001E614C"/>
    <w:rsid w:val="002A7D30"/>
    <w:rsid w:val="003521A0"/>
    <w:rsid w:val="003D5258"/>
    <w:rsid w:val="004019DD"/>
    <w:rsid w:val="00410DF8"/>
    <w:rsid w:val="004728CF"/>
    <w:rsid w:val="00473468"/>
    <w:rsid w:val="00476FE4"/>
    <w:rsid w:val="004D1987"/>
    <w:rsid w:val="00573E68"/>
    <w:rsid w:val="00634836"/>
    <w:rsid w:val="00722566"/>
    <w:rsid w:val="008243EA"/>
    <w:rsid w:val="0088745C"/>
    <w:rsid w:val="00911607"/>
    <w:rsid w:val="009C7CF4"/>
    <w:rsid w:val="00BB07C8"/>
    <w:rsid w:val="00BE78E6"/>
    <w:rsid w:val="00C016A1"/>
    <w:rsid w:val="00C434F6"/>
    <w:rsid w:val="00DC120D"/>
    <w:rsid w:val="00DE0BE9"/>
    <w:rsid w:val="00EB72AA"/>
    <w:rsid w:val="00F4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List Paragraph"/>
    <w:basedOn w:val="a"/>
    <w:uiPriority w:val="34"/>
    <w:qFormat/>
    <w:rsid w:val="002A7D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List Paragraph"/>
    <w:basedOn w:val="a"/>
    <w:uiPriority w:val="34"/>
    <w:qFormat/>
    <w:rsid w:val="002A7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479-15/paran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448DD-045F-4236-B56A-ED5B9C4AE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2017-03-01T08:29:00Z</cp:lastPrinted>
  <dcterms:created xsi:type="dcterms:W3CDTF">2017-02-27T11:39:00Z</dcterms:created>
  <dcterms:modified xsi:type="dcterms:W3CDTF">2017-04-10T12:36:00Z</dcterms:modified>
</cp:coreProperties>
</file>