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57" w:rsidRDefault="00157E57" w:rsidP="007940D1">
      <w:pPr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                                                                                                                              до рішення ХХХ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сесії 8 скликання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від 24 грудня 2019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 3</w:t>
      </w:r>
    </w:p>
    <w:p w:rsidR="00063632" w:rsidRPr="003018CB" w:rsidRDefault="003018CB" w:rsidP="007940D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ПРОГРАМА                                                                                                         соціально-економічного розвитку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на 2020 рік</w:t>
      </w:r>
    </w:p>
    <w:p w:rsidR="00063632" w:rsidRPr="00A07BB0" w:rsidRDefault="00063632" w:rsidP="007940D1">
      <w:pPr>
        <w:spacing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ВСТУП</w:t>
      </w:r>
    </w:p>
    <w:p w:rsidR="00063632" w:rsidRPr="00A07BB0" w:rsidRDefault="00FE0735" w:rsidP="007940D1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Програма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соціально-економічного </w:t>
      </w:r>
      <w:r w:rsidR="003018CB">
        <w:rPr>
          <w:rFonts w:ascii="Times New Roman" w:hAnsi="Times New Roman"/>
          <w:sz w:val="24"/>
          <w:szCs w:val="24"/>
          <w:lang w:val="uk-UA"/>
        </w:rPr>
        <w:t xml:space="preserve">розвитку </w:t>
      </w:r>
      <w:proofErr w:type="spellStart"/>
      <w:r w:rsidR="003018CB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3018CB">
        <w:rPr>
          <w:rFonts w:ascii="Times New Roman" w:hAnsi="Times New Roman"/>
          <w:sz w:val="24"/>
          <w:szCs w:val="24"/>
          <w:lang w:val="uk-UA"/>
        </w:rPr>
        <w:t xml:space="preserve">  сільської ради на 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>2020 роки (надалі - Програма) розроблен</w:t>
      </w:r>
      <w:r>
        <w:rPr>
          <w:rFonts w:ascii="Times New Roman" w:hAnsi="Times New Roman"/>
          <w:sz w:val="24"/>
          <w:szCs w:val="24"/>
          <w:lang w:val="uk-UA"/>
        </w:rPr>
        <w:t>а відповідно до Закону України «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>Про державне прогнозування та розроблення програм економічного</w:t>
      </w:r>
      <w:r>
        <w:rPr>
          <w:rFonts w:ascii="Times New Roman" w:hAnsi="Times New Roman"/>
          <w:sz w:val="24"/>
          <w:szCs w:val="24"/>
          <w:lang w:val="uk-UA"/>
        </w:rPr>
        <w:t xml:space="preserve"> і соціального розвитку України»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>, Закону України «Про добровільне об’єднання територіальних громад».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Програма розроблена на підставі Закону України «Про державне прогнозування та розроблення програм економічного і соціального розвитку України» від 23.03.2000 р. 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                                 № </w:t>
      </w:r>
      <w:r w:rsidRPr="00A07BB0">
        <w:rPr>
          <w:rFonts w:ascii="Times New Roman" w:hAnsi="Times New Roman"/>
          <w:sz w:val="24"/>
          <w:szCs w:val="24"/>
          <w:lang w:val="uk-UA"/>
        </w:rPr>
        <w:t>1602- ІІІ; постанови Кабінету Міністрів України від 26 квітня 2003 р. № 621 «Про розроблення прогнозних і програмних документів економічного і соціал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ьного розвитку та складання </w:t>
      </w:r>
      <w:proofErr w:type="spellStart"/>
      <w:r w:rsidR="00FE0735">
        <w:rPr>
          <w:rFonts w:ascii="Times New Roman" w:hAnsi="Times New Roman"/>
          <w:sz w:val="24"/>
          <w:szCs w:val="24"/>
          <w:lang w:val="uk-UA"/>
        </w:rPr>
        <w:t>проє</w:t>
      </w:r>
      <w:r w:rsidRPr="00A07BB0">
        <w:rPr>
          <w:rFonts w:ascii="Times New Roman" w:hAnsi="Times New Roman"/>
          <w:sz w:val="24"/>
          <w:szCs w:val="24"/>
          <w:lang w:val="uk-UA"/>
        </w:rPr>
        <w:t>кту</w:t>
      </w:r>
      <w:proofErr w:type="spellEnd"/>
      <w:r w:rsidRPr="00A07BB0">
        <w:rPr>
          <w:rFonts w:ascii="Times New Roman" w:hAnsi="Times New Roman"/>
          <w:sz w:val="24"/>
          <w:szCs w:val="24"/>
          <w:lang w:val="uk-UA"/>
        </w:rPr>
        <w:t xml:space="preserve"> державного бюджету»; вимог до реаліз</w:t>
      </w:r>
      <w:r w:rsidR="00FE0735">
        <w:rPr>
          <w:rFonts w:ascii="Times New Roman" w:hAnsi="Times New Roman"/>
          <w:sz w:val="24"/>
          <w:szCs w:val="24"/>
          <w:lang w:val="uk-UA"/>
        </w:rPr>
        <w:t>ації Плану дій “Україна – ЄС», р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озпорядження КМУ від 01.10.2014 року № 902 «Про національний план дій з відновлюваної енергетики на період до 2020 року» та Стратегії інноваційного розвитку України на 2010 – 2020 років 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в умовах </w:t>
      </w:r>
      <w:proofErr w:type="spellStart"/>
      <w:r w:rsidR="00FE0735">
        <w:rPr>
          <w:rFonts w:ascii="Times New Roman" w:hAnsi="Times New Roman"/>
          <w:sz w:val="24"/>
          <w:szCs w:val="24"/>
          <w:lang w:val="uk-UA"/>
        </w:rPr>
        <w:t>глобалізацій</w:t>
      </w:r>
      <w:r w:rsidRPr="00A07BB0">
        <w:rPr>
          <w:rFonts w:ascii="Times New Roman" w:hAnsi="Times New Roman"/>
          <w:sz w:val="24"/>
          <w:szCs w:val="24"/>
          <w:lang w:val="uk-UA"/>
        </w:rPr>
        <w:t>них</w:t>
      </w:r>
      <w:proofErr w:type="spellEnd"/>
      <w:r w:rsidRPr="00A07BB0">
        <w:rPr>
          <w:rFonts w:ascii="Times New Roman" w:hAnsi="Times New Roman"/>
          <w:sz w:val="24"/>
          <w:szCs w:val="24"/>
          <w:lang w:val="uk-UA"/>
        </w:rPr>
        <w:t xml:space="preserve"> викликів». </w:t>
      </w:r>
    </w:p>
    <w:p w:rsidR="00063632" w:rsidRPr="00A07BB0" w:rsidRDefault="00063632" w:rsidP="007940D1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Метою </w:t>
      </w:r>
      <w:r w:rsidR="00FE0735">
        <w:rPr>
          <w:rFonts w:ascii="Times New Roman" w:hAnsi="Times New Roman"/>
          <w:sz w:val="24"/>
          <w:szCs w:val="24"/>
          <w:lang w:val="uk-UA"/>
        </w:rPr>
        <w:t>програми є зростання добробуту й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підвищення якості життя</w:t>
      </w:r>
      <w:r w:rsidR="00882005">
        <w:rPr>
          <w:rFonts w:ascii="Times New Roman" w:hAnsi="Times New Roman"/>
          <w:sz w:val="24"/>
          <w:szCs w:val="24"/>
          <w:lang w:val="uk-UA"/>
        </w:rPr>
        <w:t xml:space="preserve"> населення </w:t>
      </w:r>
      <w:proofErr w:type="spellStart"/>
      <w:r w:rsidR="00882005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88200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7BB0">
        <w:rPr>
          <w:rFonts w:ascii="Times New Roman" w:hAnsi="Times New Roman"/>
          <w:sz w:val="24"/>
          <w:szCs w:val="24"/>
          <w:lang w:val="uk-UA"/>
        </w:rPr>
        <w:t>сільської ради за рахунок забезпечення позитивних структурних зру</w:t>
      </w:r>
      <w:r w:rsidR="00FE0735">
        <w:rPr>
          <w:rFonts w:ascii="Times New Roman" w:hAnsi="Times New Roman"/>
          <w:sz w:val="24"/>
          <w:szCs w:val="24"/>
          <w:lang w:val="uk-UA"/>
        </w:rPr>
        <w:t>шень у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економіці, підви</w:t>
      </w:r>
      <w:r w:rsidR="00FE0735">
        <w:rPr>
          <w:rFonts w:ascii="Times New Roman" w:hAnsi="Times New Roman"/>
          <w:sz w:val="24"/>
          <w:szCs w:val="24"/>
          <w:lang w:val="uk-UA"/>
        </w:rPr>
        <w:t>щення її конкурентоспроможності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як основи для збалансованого зростання стандартів та показників економічного розвитку. Програма визначає цілі, завдання </w:t>
      </w:r>
      <w:r w:rsidR="00FE0735">
        <w:rPr>
          <w:rFonts w:ascii="Times New Roman" w:hAnsi="Times New Roman"/>
          <w:sz w:val="24"/>
          <w:szCs w:val="24"/>
          <w:lang w:val="uk-UA"/>
        </w:rPr>
        <w:t>та основні заходи економічного та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82005">
        <w:rPr>
          <w:rFonts w:ascii="Times New Roman" w:hAnsi="Times New Roman"/>
          <w:sz w:val="24"/>
          <w:szCs w:val="24"/>
          <w:lang w:val="uk-UA"/>
        </w:rPr>
        <w:t xml:space="preserve">соціального розвитку </w:t>
      </w:r>
      <w:proofErr w:type="spellStart"/>
      <w:r w:rsidR="00882005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882005">
        <w:rPr>
          <w:rFonts w:ascii="Times New Roman" w:hAnsi="Times New Roman"/>
          <w:sz w:val="24"/>
          <w:szCs w:val="24"/>
          <w:lang w:val="uk-UA"/>
        </w:rPr>
        <w:t xml:space="preserve">  сільської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 ради на  </w:t>
      </w:r>
      <w:r w:rsidRPr="00A07BB0">
        <w:rPr>
          <w:rFonts w:ascii="Times New Roman" w:hAnsi="Times New Roman"/>
          <w:sz w:val="24"/>
          <w:szCs w:val="24"/>
          <w:lang w:val="uk-UA"/>
        </w:rPr>
        <w:t>2020 роки.</w:t>
      </w:r>
    </w:p>
    <w:p w:rsidR="00063632" w:rsidRDefault="00063632" w:rsidP="007940D1">
      <w:pPr>
        <w:spacing w:after="0" w:line="240" w:lineRule="auto"/>
        <w:ind w:left="-567"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Pr="00A07BB0" w:rsidRDefault="00063632" w:rsidP="007940D1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ЦІЛІ ТА ПРІОРИТЕТИ СОЦІАЛЬНО-ЕКОНОМІЧНОГО РОЗВИТКУ</w:t>
      </w:r>
    </w:p>
    <w:p w:rsidR="00063632" w:rsidRPr="00A07BB0" w:rsidRDefault="006E466B" w:rsidP="007940D1">
      <w:pPr>
        <w:pStyle w:val="a3"/>
        <w:shd w:val="clear" w:color="auto" w:fill="FFFFFF"/>
        <w:spacing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2020</w:t>
      </w:r>
      <w:r w:rsidR="00063632" w:rsidRPr="00A07BB0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1.1 Соціальна сфера</w:t>
      </w:r>
    </w:p>
    <w:p w:rsidR="00063632" w:rsidRPr="00A07BB0" w:rsidRDefault="00FE0735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У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соціальній сфері: </w:t>
      </w:r>
    </w:p>
    <w:p w:rsidR="00063632" w:rsidRPr="00A07BB0" w:rsidRDefault="00FE0735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створення умов для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підвищенню рівня життя населення;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забезпечення виконання соціальних програм, що фінансуються за рахунок бюджетів усіх рівнів;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збереження та оновлення існуючої соціальної інфраструктури </w:t>
      </w:r>
      <w:proofErr w:type="spellStart"/>
      <w:r w:rsidR="009332CD">
        <w:rPr>
          <w:rFonts w:ascii="Times New Roman" w:hAnsi="Times New Roman"/>
          <w:sz w:val="24"/>
          <w:szCs w:val="24"/>
          <w:lang w:val="uk-UA" w:eastAsia="uk-UA"/>
        </w:rPr>
        <w:t>Прибужанівської</w:t>
      </w:r>
      <w:proofErr w:type="spellEnd"/>
      <w:r w:rsidR="009332C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A07BB0">
        <w:rPr>
          <w:rFonts w:ascii="Times New Roman" w:hAnsi="Times New Roman"/>
          <w:sz w:val="24"/>
          <w:szCs w:val="24"/>
          <w:lang w:val="uk-UA" w:eastAsia="uk-UA"/>
        </w:rPr>
        <w:t>об’єднаної територіальної громади</w:t>
      </w:r>
      <w:r w:rsidRPr="00A07BB0">
        <w:rPr>
          <w:rFonts w:ascii="Times New Roman" w:hAnsi="Times New Roman"/>
          <w:sz w:val="24"/>
          <w:szCs w:val="24"/>
          <w:lang w:val="uk-UA"/>
        </w:rPr>
        <w:t>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підвищення зайнятості сільського населення;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1.2 Соціальна політика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1.1. Зайнятість населення та ринок праці. Аналіз динаміки та головні тенденції розвитку сфери діяльності.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Основні проблеми: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працевлаштування неконкурентоспроможних верств населення (інвалідів, молоді, особливо випускників навчальних закладів);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нелегальна зайнятість і нелегальна трудова міграція;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низька ефективність залучення інвестицій, які не забезпечують розши</w:t>
      </w:r>
      <w:r w:rsidR="00FE0735">
        <w:rPr>
          <w:rFonts w:ascii="Times New Roman" w:hAnsi="Times New Roman"/>
          <w:sz w:val="24"/>
          <w:szCs w:val="24"/>
          <w:lang w:val="uk-UA"/>
        </w:rPr>
        <w:t>рення сфери використання праці в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сільській місцевості.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Основні цілі: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збільшення чисельності зайнятого населення;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підтримка самостійної зайнятості населення;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створення нових та легалізація існуючих робочих місць;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сприяння у працевлаштуванні зареєстрованих безробітних.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lastRenderedPageBreak/>
        <w:t xml:space="preserve">Критерії досягнення цілей: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активізація процесу створення нових робочих місць в усіх сферах економічної діяльності;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підвищення рівня взаємодії з центрами зайнятості та роботодавцями, що провадять свою діяльність на території сільської ради.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1.2. Соціальне забезпечення. </w:t>
      </w:r>
    </w:p>
    <w:p w:rsidR="00063632" w:rsidRPr="00A07BB0" w:rsidRDefault="009332CD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Протягом 2020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року планується вирішення питань щодо поліпшення соціального обслуговування пенсіонерів та одиноких непрацездатних громадян територіальним центро</w:t>
      </w:r>
      <w:r w:rsidR="00807D1A">
        <w:rPr>
          <w:rFonts w:ascii="Times New Roman" w:hAnsi="Times New Roman"/>
          <w:sz w:val="24"/>
          <w:szCs w:val="24"/>
          <w:lang w:val="uk-UA"/>
        </w:rPr>
        <w:t>м соціального захисту населення.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Основні проблеми: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недостатній рівень адресності при наданні пільг окремим категоріям населення;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наявність пільг і гарантій, що надаються за професійною ознакою без урахування рівня доходів;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недосконала законодавча база для регулювання соціально-трудових відносин;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недостатній захист прав найманих працівників у недержавному секторі економіки.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Основні цілі: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підвищення соціальних гарантій сім’ям з дітьми та іншим вразливим верствам населення;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сприяння залученню благодійної допомоги для вирішення проблем найбільш незахищених верств населення.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Критерії досягнення цілей: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вчасне виявлення соціально незахищених категорій громадян та проведення роз’яснювальної роботи щодо оформлення Державних соціальних допомог відповідно до чинного законодавства;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постійне підвищення рівня обслуговування незахищених верств населення, що обліковуються в сільській раді;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всіляка підтримка первинних ветеранських організацій надання допомоги за рахунок спонсорських коштів та бюджетних коштів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матеріальна допомога учасникам АТО та їх сім’ям за рахунок мі</w:t>
      </w:r>
      <w:r>
        <w:rPr>
          <w:rFonts w:ascii="Times New Roman" w:hAnsi="Times New Roman"/>
          <w:sz w:val="24"/>
          <w:szCs w:val="24"/>
          <w:lang w:val="uk-UA"/>
        </w:rPr>
        <w:t>сцевого бюджету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063632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за рахунок місцевого бюджету оздоров</w:t>
      </w:r>
      <w:r>
        <w:rPr>
          <w:rFonts w:ascii="Times New Roman" w:hAnsi="Times New Roman"/>
          <w:sz w:val="24"/>
          <w:szCs w:val="24"/>
          <w:lang w:val="uk-UA"/>
        </w:rPr>
        <w:t>ити дітей пільгових категорій (</w:t>
      </w:r>
      <w:r w:rsidRPr="00A07BB0">
        <w:rPr>
          <w:rFonts w:ascii="Times New Roman" w:hAnsi="Times New Roman"/>
          <w:sz w:val="24"/>
          <w:szCs w:val="24"/>
          <w:lang w:val="uk-UA"/>
        </w:rPr>
        <w:t>діти-сироти, позбавлені батьківського піклува</w:t>
      </w:r>
      <w:r>
        <w:rPr>
          <w:rFonts w:ascii="Times New Roman" w:hAnsi="Times New Roman"/>
          <w:sz w:val="24"/>
          <w:szCs w:val="24"/>
          <w:lang w:val="uk-UA"/>
        </w:rPr>
        <w:t>ння, багатодітні сім’ї)</w:t>
      </w:r>
      <w:r w:rsidRPr="00A07BB0">
        <w:rPr>
          <w:rFonts w:ascii="Times New Roman" w:hAnsi="Times New Roman"/>
          <w:sz w:val="24"/>
          <w:szCs w:val="24"/>
          <w:lang w:val="uk-UA"/>
        </w:rPr>
        <w:t>.</w:t>
      </w:r>
    </w:p>
    <w:p w:rsidR="00FE0735" w:rsidRPr="00A07BB0" w:rsidRDefault="00FE0735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1.3.  Охорона здоров’я населення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1.3.1. На території </w:t>
      </w:r>
      <w:r w:rsidR="009332C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9332CD">
        <w:rPr>
          <w:rFonts w:ascii="Times New Roman" w:hAnsi="Times New Roman"/>
          <w:sz w:val="24"/>
          <w:szCs w:val="24"/>
          <w:lang w:val="uk-UA" w:eastAsia="uk-UA"/>
        </w:rPr>
        <w:t>Прибужанівської</w:t>
      </w:r>
      <w:proofErr w:type="spellEnd"/>
      <w:r w:rsidR="009332C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A07BB0">
        <w:rPr>
          <w:rFonts w:ascii="Times New Roman" w:hAnsi="Times New Roman"/>
          <w:sz w:val="24"/>
          <w:szCs w:val="24"/>
          <w:lang w:val="uk-UA" w:eastAsia="uk-UA"/>
        </w:rPr>
        <w:t>сільської ради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знаходяться: </w:t>
      </w:r>
    </w:p>
    <w:p w:rsidR="00063632" w:rsidRPr="00A07BB0" w:rsidRDefault="009332CD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три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амбулаторії загальної практики сімейної медицини</w:t>
      </w:r>
      <w:r>
        <w:rPr>
          <w:rFonts w:ascii="Times New Roman" w:hAnsi="Times New Roman"/>
          <w:sz w:val="24"/>
          <w:szCs w:val="24"/>
          <w:lang w:val="uk-UA"/>
        </w:rPr>
        <w:t xml:space="preserve"> в с.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Прибужани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Мартинівське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Яструбинове</w:t>
      </w:r>
      <w:proofErr w:type="spellEnd"/>
      <w:r w:rsidR="00E44AFF">
        <w:rPr>
          <w:rFonts w:ascii="Times New Roman" w:hAnsi="Times New Roman"/>
          <w:sz w:val="24"/>
          <w:szCs w:val="24"/>
          <w:lang w:val="uk-UA"/>
        </w:rPr>
        <w:t>.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63632" w:rsidRPr="00A07BB0" w:rsidRDefault="00E44AFF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три пункти здоров</w:t>
      </w:r>
      <w:r w:rsidRPr="00E44AFF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 xml:space="preserve">я в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Дмитрівка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с-ще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Тімірязєвка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с-ще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Новосілка</w:t>
      </w:r>
      <w:proofErr w:type="spellEnd"/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063632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         З ме</w:t>
      </w:r>
      <w:r w:rsidR="00FE0735">
        <w:rPr>
          <w:rFonts w:ascii="Times New Roman" w:hAnsi="Times New Roman"/>
          <w:sz w:val="24"/>
          <w:szCs w:val="24"/>
          <w:lang w:val="uk-UA"/>
        </w:rPr>
        <w:t>тою забезпечення високоякісної та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доступної медичної допомоги протидії поширенню інфекційних соціально небезпечних хворо</w:t>
      </w:r>
      <w:r w:rsidR="00FE0735">
        <w:rPr>
          <w:rFonts w:ascii="Times New Roman" w:hAnsi="Times New Roman"/>
          <w:sz w:val="24"/>
          <w:szCs w:val="24"/>
          <w:lang w:val="uk-UA"/>
        </w:rPr>
        <w:t>б, запобігання й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лікування серцево-судинних і судинно-мозкових захворювань передбачається:</w:t>
      </w:r>
    </w:p>
    <w:p w:rsidR="003F45EA" w:rsidRDefault="003F45EA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F45EA">
        <w:rPr>
          <w:rFonts w:ascii="Times New Roman" w:hAnsi="Times New Roman"/>
          <w:sz w:val="24"/>
          <w:szCs w:val="24"/>
          <w:lang w:val="uk-UA"/>
        </w:rPr>
        <w:t xml:space="preserve">-  пропаганда  здорового способу життя, забезпечення якості  профілактичної  роботи  медичних  установ;                                                                                                </w:t>
      </w:r>
    </w:p>
    <w:p w:rsidR="003F45EA" w:rsidRPr="003F45EA" w:rsidRDefault="003F45EA" w:rsidP="007940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45EA">
        <w:rPr>
          <w:rFonts w:ascii="Times New Roman" w:hAnsi="Times New Roman"/>
          <w:sz w:val="24"/>
          <w:szCs w:val="24"/>
          <w:lang w:val="uk-UA"/>
        </w:rPr>
        <w:t xml:space="preserve">    -  забезпечення  повної доступності  медичної  та  медично-санітарної  допомоги;                                                                                                                                        </w:t>
      </w:r>
    </w:p>
    <w:p w:rsidR="00063632" w:rsidRPr="00A07BB0" w:rsidRDefault="003F45EA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 - сприяння укомплектуванню амбулаторій необхідним діагностичним медичним обладнанням;</w:t>
      </w:r>
    </w:p>
    <w:p w:rsidR="00063632" w:rsidRPr="00A07BB0" w:rsidRDefault="00063632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1.3.2. Критерії досягнення цілей: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 збереження лікувально-профілактичних закладів </w:t>
      </w:r>
      <w:proofErr w:type="spellStart"/>
      <w:r w:rsidR="003F45EA">
        <w:rPr>
          <w:rFonts w:ascii="Times New Roman" w:hAnsi="Times New Roman"/>
          <w:sz w:val="24"/>
          <w:szCs w:val="24"/>
          <w:lang w:val="uk-UA" w:eastAsia="uk-UA"/>
        </w:rPr>
        <w:t>Прибужанівської</w:t>
      </w:r>
      <w:proofErr w:type="spellEnd"/>
      <w:r w:rsidRPr="00A07BB0">
        <w:rPr>
          <w:rFonts w:ascii="Times New Roman" w:hAnsi="Times New Roman"/>
          <w:sz w:val="24"/>
          <w:szCs w:val="24"/>
          <w:lang w:val="uk-UA" w:eastAsia="uk-UA"/>
        </w:rPr>
        <w:t xml:space="preserve"> об’єднаної територіальної громади</w:t>
      </w:r>
      <w:r w:rsidRPr="00A07BB0">
        <w:rPr>
          <w:rFonts w:ascii="Times New Roman" w:hAnsi="Times New Roman"/>
          <w:sz w:val="24"/>
          <w:szCs w:val="24"/>
          <w:lang w:val="uk-UA"/>
        </w:rPr>
        <w:t>, сприяння матеріальному забезпеченню цих закладів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вирішення питання кадрового забезпечення.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стимулювати залучення коштів суб’єктів господарювання, приватних і комерційних структур для розвитку матеріально-технічної бази місцевої амбулаторії;</w:t>
      </w:r>
    </w:p>
    <w:p w:rsidR="00FE0735" w:rsidRDefault="00FE0735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1.4.Освіта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1.4.1. Освітня галузь сільської ради представлена:  </w:t>
      </w:r>
    </w:p>
    <w:p w:rsidR="00063632" w:rsidRPr="0010559A" w:rsidRDefault="00FE0735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-   з</w:t>
      </w:r>
      <w:r w:rsidR="00063632"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агальноосвітні школи </w:t>
      </w:r>
      <w:r w:rsidR="003F45EA" w:rsidRPr="0010559A">
        <w:rPr>
          <w:rFonts w:ascii="Times New Roman" w:hAnsi="Times New Roman"/>
          <w:color w:val="000000"/>
          <w:sz w:val="24"/>
          <w:szCs w:val="24"/>
          <w:lang w:val="uk-UA"/>
        </w:rPr>
        <w:t>– 6</w:t>
      </w:r>
      <w:r w:rsidR="00063632"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 од.,  </w:t>
      </w:r>
      <w:r w:rsidR="00B52C00" w:rsidRPr="0010559A">
        <w:rPr>
          <w:rFonts w:ascii="Times New Roman" w:hAnsi="Times New Roman"/>
          <w:color w:val="000000"/>
          <w:sz w:val="24"/>
          <w:szCs w:val="24"/>
          <w:lang w:val="uk-UA"/>
        </w:rPr>
        <w:t>756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B52C00" w:rsidRPr="0010559A">
        <w:rPr>
          <w:rFonts w:ascii="Times New Roman" w:hAnsi="Times New Roman"/>
          <w:color w:val="000000"/>
          <w:sz w:val="24"/>
          <w:szCs w:val="24"/>
          <w:lang w:val="uk-UA"/>
        </w:rPr>
        <w:t>учнів, 106 працівники (з них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– </w:t>
      </w:r>
      <w:r w:rsidR="00B52C00"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 99</w:t>
      </w:r>
      <w:r w:rsidR="00063632"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 вчителі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</w:t>
      </w:r>
      <w:r w:rsidR="00063632" w:rsidRPr="0010559A">
        <w:rPr>
          <w:rFonts w:ascii="Times New Roman" w:hAnsi="Times New Roman"/>
          <w:color w:val="000000"/>
          <w:sz w:val="24"/>
          <w:szCs w:val="24"/>
          <w:lang w:val="uk-UA"/>
        </w:rPr>
        <w:t>);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0559A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-</w:t>
      </w:r>
      <w:r w:rsidR="00FE0735">
        <w:rPr>
          <w:rFonts w:ascii="Times New Roman" w:hAnsi="Times New Roman"/>
          <w:color w:val="000000"/>
          <w:sz w:val="24"/>
          <w:szCs w:val="24"/>
          <w:lang w:val="uk-UA"/>
        </w:rPr>
        <w:t xml:space="preserve">  д</w:t>
      </w:r>
      <w:r w:rsidR="003F45EA" w:rsidRPr="0010559A">
        <w:rPr>
          <w:rFonts w:ascii="Times New Roman" w:hAnsi="Times New Roman"/>
          <w:color w:val="000000"/>
          <w:sz w:val="24"/>
          <w:szCs w:val="24"/>
          <w:lang w:val="uk-UA"/>
        </w:rPr>
        <w:t>итячі  навчальні  заклади – 6</w:t>
      </w:r>
      <w:r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 од., </w:t>
      </w:r>
      <w:r w:rsidR="00A14737" w:rsidRPr="0010559A">
        <w:rPr>
          <w:rFonts w:ascii="Times New Roman" w:hAnsi="Times New Roman"/>
          <w:color w:val="000000"/>
          <w:sz w:val="24"/>
          <w:szCs w:val="24"/>
          <w:lang w:val="uk-UA"/>
        </w:rPr>
        <w:t>251 вихованець, 67</w:t>
      </w:r>
      <w:r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працівник</w:t>
      </w:r>
      <w:r w:rsidR="00A14737" w:rsidRPr="0010559A">
        <w:rPr>
          <w:rFonts w:ascii="Times New Roman" w:hAnsi="Times New Roman"/>
          <w:color w:val="000000"/>
          <w:sz w:val="24"/>
          <w:szCs w:val="24"/>
          <w:lang w:val="uk-UA"/>
        </w:rPr>
        <w:t>ів (з них</w:t>
      </w:r>
      <w:r w:rsidR="00FE0735">
        <w:rPr>
          <w:rFonts w:ascii="Times New Roman" w:hAnsi="Times New Roman"/>
          <w:color w:val="000000"/>
          <w:sz w:val="24"/>
          <w:szCs w:val="24"/>
          <w:lang w:val="uk-UA"/>
        </w:rPr>
        <w:t xml:space="preserve"> – </w:t>
      </w:r>
      <w:r w:rsidR="00A14737"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 13</w:t>
      </w:r>
      <w:r w:rsidR="00FE0735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0559A">
        <w:rPr>
          <w:rFonts w:ascii="Times New Roman" w:hAnsi="Times New Roman"/>
          <w:color w:val="000000"/>
          <w:sz w:val="24"/>
          <w:szCs w:val="24"/>
          <w:lang w:val="uk-UA"/>
        </w:rPr>
        <w:t>вихователів</w:t>
      </w:r>
      <w:r w:rsidR="00A14737" w:rsidRPr="0010559A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6 директорів</w:t>
      </w:r>
      <w:r w:rsidRPr="0010559A">
        <w:rPr>
          <w:rFonts w:ascii="Times New Roman" w:hAnsi="Times New Roman"/>
          <w:color w:val="000000"/>
          <w:sz w:val="24"/>
          <w:szCs w:val="24"/>
          <w:lang w:val="uk-UA"/>
        </w:rPr>
        <w:t>).</w:t>
      </w:r>
      <w:r w:rsidRPr="00A07BB0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</w:p>
    <w:p w:rsidR="00063632" w:rsidRPr="00A07BB0" w:rsidRDefault="00FE0735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У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школах організовано роботу творчих груп, спортивних секцій, шкіл передового педагогічного досвіду. Педагогічні колективи шкіл забезпечують здоровий відпочинок своїх вихованців, ініціюючи максимальну участь дітей у походах, екскурсіях по рідному краю.</w:t>
      </w:r>
    </w:p>
    <w:p w:rsidR="00063632" w:rsidRPr="00A07BB0" w:rsidRDefault="00FE0735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У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школах і дошкільн</w:t>
      </w:r>
      <w:r w:rsidR="00063632">
        <w:rPr>
          <w:rFonts w:ascii="Times New Roman" w:hAnsi="Times New Roman"/>
          <w:sz w:val="24"/>
          <w:szCs w:val="24"/>
          <w:lang w:val="uk-UA"/>
        </w:rPr>
        <w:t>их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навчальн</w:t>
      </w:r>
      <w:r w:rsidR="00063632">
        <w:rPr>
          <w:rFonts w:ascii="Times New Roman" w:hAnsi="Times New Roman"/>
          <w:sz w:val="24"/>
          <w:szCs w:val="24"/>
          <w:lang w:val="uk-UA"/>
        </w:rPr>
        <w:t>их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заклад</w:t>
      </w:r>
      <w:r w:rsidR="00063632">
        <w:rPr>
          <w:rFonts w:ascii="Times New Roman" w:hAnsi="Times New Roman"/>
          <w:sz w:val="24"/>
          <w:szCs w:val="24"/>
          <w:lang w:val="uk-UA"/>
        </w:rPr>
        <w:t>ах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85FD5">
        <w:rPr>
          <w:rFonts w:ascii="Times New Roman" w:hAnsi="Times New Roman"/>
          <w:sz w:val="24"/>
          <w:szCs w:val="24"/>
          <w:lang w:val="uk-UA"/>
        </w:rPr>
        <w:t xml:space="preserve">проведено капітальні та 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поточні ремон</w:t>
      </w:r>
      <w:r>
        <w:rPr>
          <w:rFonts w:ascii="Times New Roman" w:hAnsi="Times New Roman"/>
          <w:sz w:val="24"/>
          <w:szCs w:val="24"/>
          <w:lang w:val="uk-UA"/>
        </w:rPr>
        <w:t>ти. Проведено відповідні заходи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щодо забезпечення відповідного теплового режиму </w:t>
      </w:r>
      <w:r w:rsidR="00063632">
        <w:rPr>
          <w:rFonts w:ascii="Times New Roman" w:hAnsi="Times New Roman"/>
          <w:sz w:val="24"/>
          <w:szCs w:val="24"/>
          <w:lang w:val="uk-UA"/>
        </w:rPr>
        <w:t>приміщень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в опалювальний період. </w:t>
      </w:r>
    </w:p>
    <w:p w:rsidR="00063632" w:rsidRDefault="00A14737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Основні проблеми ф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>інансування оздоровлення дітей шк</w:t>
      </w:r>
      <w:r w:rsidR="00285FD5">
        <w:rPr>
          <w:rFonts w:ascii="Times New Roman" w:hAnsi="Times New Roman"/>
          <w:sz w:val="24"/>
          <w:szCs w:val="24"/>
          <w:lang w:val="uk-UA"/>
        </w:rPr>
        <w:t xml:space="preserve">ільного віку в літній період </w:t>
      </w:r>
      <w:r w:rsidR="00063632">
        <w:rPr>
          <w:rFonts w:ascii="Times New Roman" w:hAnsi="Times New Roman"/>
          <w:sz w:val="24"/>
          <w:szCs w:val="24"/>
          <w:lang w:val="uk-UA"/>
        </w:rPr>
        <w:t>2020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рок</w:t>
      </w:r>
      <w:r w:rsidR="00063632">
        <w:rPr>
          <w:rFonts w:ascii="Times New Roman" w:hAnsi="Times New Roman"/>
          <w:sz w:val="24"/>
          <w:szCs w:val="24"/>
          <w:lang w:val="uk-UA"/>
        </w:rPr>
        <w:t>ів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за рахунок бюджетних коштів місцевого </w:t>
      </w:r>
      <w:r w:rsidR="00063632" w:rsidRPr="001B6E1E">
        <w:rPr>
          <w:rFonts w:ascii="Times New Roman" w:hAnsi="Times New Roman"/>
          <w:sz w:val="24"/>
          <w:szCs w:val="24"/>
          <w:lang w:val="uk-UA"/>
        </w:rPr>
        <w:t>бюджету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недостатні обсяги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 фінансування освітньої сфери, у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першу чергу на оновлення матеріально-технічної бази навчальних закладів; 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недостатність коштів на фінансування безоплатного харчування дітей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учнів 1-4 класів. </w:t>
      </w:r>
    </w:p>
    <w:p w:rsidR="00063632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Основні цілі: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впровадження сучасних інформаційних технологій у навчально-виховний процес державного стандарту початкової освіти;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виконання завдань соціального захисту дітей-сиріт та дітей, позбавлених батьківського піклування;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сприяння забезпеченості шкіл сільської ради педагогічними працівниками відповідної фахової підготовки;</w:t>
      </w:r>
    </w:p>
    <w:p w:rsidR="00063632" w:rsidRDefault="00FE0735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задоволення потреби громади в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дошкільних закладах;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FE07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7BB0">
        <w:rPr>
          <w:rFonts w:ascii="Times New Roman" w:hAnsi="Times New Roman"/>
          <w:sz w:val="24"/>
          <w:szCs w:val="24"/>
          <w:lang w:val="uk-UA"/>
        </w:rPr>
        <w:t>організація відповідних умов для забезпечення навчального процесу;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Критерії досягнення цілей: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забезпечення відпочинку та </w:t>
      </w:r>
      <w:r w:rsidR="00A14737">
        <w:rPr>
          <w:rFonts w:ascii="Times New Roman" w:hAnsi="Times New Roman"/>
          <w:sz w:val="24"/>
          <w:szCs w:val="24"/>
          <w:lang w:val="uk-UA"/>
        </w:rPr>
        <w:t xml:space="preserve">оздоровлення дітей на період  </w:t>
      </w:r>
      <w:r>
        <w:rPr>
          <w:rFonts w:ascii="Times New Roman" w:hAnsi="Times New Roman"/>
          <w:sz w:val="24"/>
          <w:szCs w:val="24"/>
          <w:lang w:val="uk-UA"/>
        </w:rPr>
        <w:t>2020 років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формування та впровадження </w:t>
      </w:r>
      <w:r w:rsidRPr="00A07BB0">
        <w:rPr>
          <w:rFonts w:ascii="Times New Roman" w:hAnsi="Times New Roman"/>
          <w:sz w:val="24"/>
          <w:szCs w:val="24"/>
          <w:lang w:val="uk-UA"/>
        </w:rPr>
        <w:t>духовн</w:t>
      </w:r>
      <w:r>
        <w:rPr>
          <w:rFonts w:ascii="Times New Roman" w:hAnsi="Times New Roman"/>
          <w:sz w:val="24"/>
          <w:szCs w:val="24"/>
          <w:lang w:val="uk-UA"/>
        </w:rPr>
        <w:t>их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орієнтир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позашкільної освіти;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організація харчування дітей-сиріт та дітей, позбавлених батьківськ</w:t>
      </w:r>
      <w:r w:rsidR="00474340">
        <w:rPr>
          <w:rFonts w:ascii="Times New Roman" w:hAnsi="Times New Roman"/>
          <w:sz w:val="24"/>
          <w:szCs w:val="24"/>
          <w:lang w:val="uk-UA"/>
        </w:rPr>
        <w:t xml:space="preserve">ого піклування, оздоровлення </w:t>
      </w:r>
      <w:r w:rsidR="00FE0735">
        <w:rPr>
          <w:rFonts w:ascii="Times New Roman" w:hAnsi="Times New Roman"/>
          <w:sz w:val="24"/>
          <w:szCs w:val="24"/>
          <w:lang w:val="uk-UA"/>
        </w:rPr>
        <w:t>ц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их категорій дітей влітку </w:t>
      </w:r>
      <w:r>
        <w:rPr>
          <w:rFonts w:ascii="Times New Roman" w:hAnsi="Times New Roman"/>
          <w:sz w:val="24"/>
          <w:szCs w:val="24"/>
          <w:lang w:val="uk-UA"/>
        </w:rPr>
        <w:t>за рахунок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бюджет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A07BB0">
        <w:rPr>
          <w:rFonts w:ascii="Times New Roman" w:hAnsi="Times New Roman"/>
          <w:sz w:val="24"/>
          <w:szCs w:val="24"/>
          <w:lang w:val="uk-UA"/>
        </w:rPr>
        <w:t>.</w:t>
      </w:r>
    </w:p>
    <w:p w:rsidR="00474340" w:rsidRDefault="00474340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1.5. Культура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Процес розвитку української нації, її духовного відродження, традицій, мови значною мірою залежить від ефективності роботи закладів культури, які спрямовують свою діяльність на збереження та розвиток культурної спадщини, зміцнення матеріально-технічної бази, збереження </w:t>
      </w:r>
      <w:r>
        <w:rPr>
          <w:rFonts w:ascii="Times New Roman" w:hAnsi="Times New Roman"/>
          <w:sz w:val="24"/>
          <w:szCs w:val="24"/>
          <w:lang w:val="uk-UA"/>
        </w:rPr>
        <w:t xml:space="preserve">існуючих та облаштування нових </w:t>
      </w:r>
      <w:r w:rsidRPr="00A07BB0">
        <w:rPr>
          <w:rFonts w:ascii="Times New Roman" w:hAnsi="Times New Roman"/>
          <w:sz w:val="24"/>
          <w:szCs w:val="24"/>
          <w:lang w:val="uk-UA"/>
        </w:rPr>
        <w:t>меморіалів, пам’яток, пам</w:t>
      </w:r>
      <w:r>
        <w:rPr>
          <w:rFonts w:ascii="Times New Roman" w:hAnsi="Times New Roman"/>
          <w:sz w:val="24"/>
          <w:szCs w:val="24"/>
          <w:lang w:val="uk-UA"/>
        </w:rPr>
        <w:t>’ятних місць</w:t>
      </w:r>
      <w:r w:rsidRPr="00A07BB0">
        <w:rPr>
          <w:rFonts w:ascii="Times New Roman" w:hAnsi="Times New Roman"/>
          <w:sz w:val="24"/>
          <w:szCs w:val="24"/>
          <w:lang w:val="uk-UA"/>
        </w:rPr>
        <w:t>.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Основні проблеми: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недостатній </w:t>
      </w:r>
      <w:r w:rsidRPr="00A07BB0">
        <w:rPr>
          <w:rFonts w:ascii="Times New Roman" w:hAnsi="Times New Roman"/>
          <w:sz w:val="24"/>
          <w:szCs w:val="24"/>
          <w:lang w:val="uk-UA"/>
        </w:rPr>
        <w:t>рів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A07BB0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фінансування галузі;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зношеність основних фондів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закладів культури.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Основні цілі: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Виходячи з необхідності збільшення духовно-і</w:t>
      </w:r>
      <w:r w:rsidR="005A6E5A">
        <w:rPr>
          <w:rFonts w:ascii="Times New Roman" w:hAnsi="Times New Roman"/>
          <w:sz w:val="24"/>
          <w:szCs w:val="24"/>
          <w:lang w:val="uk-UA"/>
        </w:rPr>
        <w:t xml:space="preserve">нтелектуального потенціалу у </w:t>
      </w:r>
      <w:r>
        <w:rPr>
          <w:rFonts w:ascii="Times New Roman" w:hAnsi="Times New Roman"/>
          <w:sz w:val="24"/>
          <w:szCs w:val="24"/>
          <w:lang w:val="uk-UA"/>
        </w:rPr>
        <w:t>2020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ках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передбачається забезпечити: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збереження історико-культурної спадщини;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організацію </w:t>
      </w:r>
      <w:r w:rsidRPr="00A07BB0">
        <w:rPr>
          <w:rFonts w:ascii="Times New Roman" w:hAnsi="Times New Roman"/>
          <w:sz w:val="24"/>
          <w:szCs w:val="24"/>
          <w:lang w:val="uk-UA"/>
        </w:rPr>
        <w:t>повноцінн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діяльн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A07BB0">
        <w:rPr>
          <w:rFonts w:ascii="Times New Roman" w:hAnsi="Times New Roman"/>
          <w:sz w:val="24"/>
          <w:szCs w:val="24"/>
          <w:lang w:val="uk-UA"/>
        </w:rPr>
        <w:t>ст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творчого потенціалу галузі;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покращення матеріально-технічної бази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A07BB0">
        <w:rPr>
          <w:rFonts w:ascii="Times New Roman" w:hAnsi="Times New Roman"/>
          <w:sz w:val="24"/>
          <w:szCs w:val="24"/>
          <w:lang w:val="uk-UA"/>
        </w:rPr>
        <w:t>прове</w:t>
      </w:r>
      <w:r>
        <w:rPr>
          <w:rFonts w:ascii="Times New Roman" w:hAnsi="Times New Roman"/>
          <w:sz w:val="24"/>
          <w:szCs w:val="24"/>
          <w:lang w:val="uk-UA"/>
        </w:rPr>
        <w:t xml:space="preserve">дення капітального </w:t>
      </w:r>
      <w:r w:rsidRPr="00A07BB0">
        <w:rPr>
          <w:rFonts w:ascii="Times New Roman" w:hAnsi="Times New Roman"/>
          <w:sz w:val="24"/>
          <w:szCs w:val="24"/>
          <w:lang w:val="uk-UA"/>
        </w:rPr>
        <w:t>ремонт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будинків культури </w:t>
      </w:r>
    </w:p>
    <w:p w:rsidR="00063632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A07BB0">
        <w:rPr>
          <w:rFonts w:ascii="Times New Roman" w:hAnsi="Times New Roman"/>
          <w:sz w:val="24"/>
          <w:szCs w:val="24"/>
          <w:lang w:val="uk-UA"/>
        </w:rPr>
        <w:t>збереженн</w:t>
      </w:r>
      <w:r>
        <w:rPr>
          <w:rFonts w:ascii="Times New Roman" w:hAnsi="Times New Roman"/>
          <w:sz w:val="24"/>
          <w:szCs w:val="24"/>
          <w:lang w:val="uk-UA"/>
        </w:rPr>
        <w:t>я та примноження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культурного надбання,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належні 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умови для творчого розвитку особистості, підвищення культурного рівня та естетичного виховання </w:t>
      </w:r>
      <w:r>
        <w:rPr>
          <w:rFonts w:ascii="Times New Roman" w:hAnsi="Times New Roman"/>
          <w:sz w:val="24"/>
          <w:szCs w:val="24"/>
          <w:lang w:val="uk-UA"/>
        </w:rPr>
        <w:t>мешканців громади</w:t>
      </w:r>
      <w:r w:rsidRPr="00A07BB0">
        <w:rPr>
          <w:rFonts w:ascii="Times New Roman" w:hAnsi="Times New Roman"/>
          <w:sz w:val="24"/>
          <w:szCs w:val="24"/>
          <w:lang w:val="uk-UA"/>
        </w:rPr>
        <w:t>.</w:t>
      </w:r>
    </w:p>
    <w:p w:rsidR="00474340" w:rsidRDefault="00474340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474340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1.6. Фізичне виховання й</w:t>
      </w:r>
      <w:r w:rsidR="00063632" w:rsidRPr="00A07BB0">
        <w:rPr>
          <w:rFonts w:ascii="Times New Roman" w:hAnsi="Times New Roman"/>
          <w:b/>
          <w:sz w:val="24"/>
          <w:szCs w:val="24"/>
          <w:lang w:val="uk-UA"/>
        </w:rPr>
        <w:t xml:space="preserve"> спорт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На території сільської ради </w:t>
      </w:r>
      <w:r w:rsidRPr="00157E57">
        <w:rPr>
          <w:rFonts w:ascii="Times New Roman" w:hAnsi="Times New Roman"/>
          <w:sz w:val="24"/>
          <w:szCs w:val="24"/>
          <w:lang w:val="uk-UA"/>
        </w:rPr>
        <w:t>функціонують футбольні поля, спортивні майданчики,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спортивні зали. Цей потенціал </w:t>
      </w:r>
      <w:r>
        <w:rPr>
          <w:rFonts w:ascii="Times New Roman" w:hAnsi="Times New Roman"/>
          <w:sz w:val="24"/>
          <w:szCs w:val="24"/>
          <w:lang w:val="uk-UA"/>
        </w:rPr>
        <w:t xml:space="preserve">може бути </w:t>
      </w:r>
      <w:r w:rsidRPr="00A07BB0">
        <w:rPr>
          <w:rFonts w:ascii="Times New Roman" w:hAnsi="Times New Roman"/>
          <w:sz w:val="24"/>
          <w:szCs w:val="24"/>
          <w:lang w:val="uk-UA"/>
        </w:rPr>
        <w:t>використ</w:t>
      </w:r>
      <w:r>
        <w:rPr>
          <w:rFonts w:ascii="Times New Roman" w:hAnsi="Times New Roman"/>
          <w:sz w:val="24"/>
          <w:szCs w:val="24"/>
          <w:lang w:val="uk-UA"/>
        </w:rPr>
        <w:t>ано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 метою культивування здорового способу життя та розвитку фізичного розвитку молоді громади </w:t>
      </w:r>
      <w:r w:rsidRPr="00A07BB0">
        <w:rPr>
          <w:rFonts w:ascii="Times New Roman" w:hAnsi="Times New Roman"/>
          <w:sz w:val="24"/>
          <w:szCs w:val="24"/>
          <w:lang w:val="uk-UA"/>
        </w:rPr>
        <w:t>під час проведення сільських змагань присвячених</w:t>
      </w:r>
      <w:r>
        <w:rPr>
          <w:rFonts w:ascii="Times New Roman" w:hAnsi="Times New Roman"/>
          <w:sz w:val="24"/>
          <w:szCs w:val="24"/>
          <w:lang w:val="uk-UA"/>
        </w:rPr>
        <w:t>, наприклад</w:t>
      </w:r>
      <w:r w:rsidRPr="00A07BB0">
        <w:rPr>
          <w:rFonts w:ascii="Times New Roman" w:hAnsi="Times New Roman"/>
          <w:sz w:val="24"/>
          <w:szCs w:val="24"/>
          <w:lang w:val="uk-UA"/>
        </w:rPr>
        <w:t>, Дню села</w:t>
      </w:r>
      <w:r>
        <w:rPr>
          <w:rFonts w:ascii="Times New Roman" w:hAnsi="Times New Roman"/>
          <w:sz w:val="24"/>
          <w:szCs w:val="24"/>
          <w:lang w:val="uk-UA"/>
        </w:rPr>
        <w:t xml:space="preserve"> або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Дню молоді.</w:t>
      </w:r>
      <w:r>
        <w:rPr>
          <w:rFonts w:ascii="Times New Roman" w:hAnsi="Times New Roman"/>
          <w:sz w:val="24"/>
          <w:szCs w:val="24"/>
          <w:lang w:val="uk-UA"/>
        </w:rPr>
        <w:t xml:space="preserve"> Функціонування цих об’єктів допомагає правильній організації дозвілля всіх верств та вікових груп населення.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Основні проблеми: </w:t>
      </w:r>
    </w:p>
    <w:p w:rsidR="00063632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обмеженість обсягів фінанс</w:t>
      </w:r>
      <w:r w:rsidR="00474340">
        <w:rPr>
          <w:rFonts w:ascii="Times New Roman" w:hAnsi="Times New Roman"/>
          <w:sz w:val="24"/>
          <w:szCs w:val="24"/>
          <w:lang w:val="uk-UA"/>
        </w:rPr>
        <w:t>ування сфери фізичної культури й спорту;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- зношеність основних фондів спортивних об’єктів.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Основні цілі: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забезпечення належних умов для розвитку спорту </w:t>
      </w:r>
      <w:r>
        <w:rPr>
          <w:rFonts w:ascii="Times New Roman" w:hAnsi="Times New Roman"/>
          <w:sz w:val="24"/>
          <w:szCs w:val="24"/>
          <w:lang w:val="uk-UA"/>
        </w:rPr>
        <w:t>в сільській місцевості</w:t>
      </w:r>
      <w:r w:rsidRPr="00A07BB0">
        <w:rPr>
          <w:rFonts w:ascii="Times New Roman" w:hAnsi="Times New Roman"/>
          <w:sz w:val="24"/>
          <w:szCs w:val="24"/>
          <w:lang w:val="uk-UA"/>
        </w:rPr>
        <w:t>;</w:t>
      </w:r>
    </w:p>
    <w:p w:rsidR="00063632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забезпечення належних умов 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роботи </w:t>
      </w:r>
      <w:r w:rsidR="00EA2BDC">
        <w:rPr>
          <w:rFonts w:ascii="Times New Roman" w:hAnsi="Times New Roman"/>
          <w:sz w:val="24"/>
          <w:szCs w:val="24"/>
          <w:lang w:val="uk-UA"/>
        </w:rPr>
        <w:t xml:space="preserve">спортивних об’єктів </w:t>
      </w:r>
      <w:proofErr w:type="spellStart"/>
      <w:r w:rsidR="00EA2BDC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ОТГ;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збільшення кількості дітей та підлітків, залучених до занять у секціях; </w:t>
      </w:r>
    </w:p>
    <w:p w:rsidR="00474340" w:rsidRDefault="00474340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A07BB0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>Молодіжна політика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Молодіжна політика реалізовує державну політику стосовно дітей, молоді, сім’ї та жінок на своїй територ</w:t>
      </w:r>
      <w:r w:rsidR="00474340">
        <w:rPr>
          <w:rFonts w:ascii="Times New Roman" w:hAnsi="Times New Roman"/>
          <w:sz w:val="24"/>
          <w:szCs w:val="24"/>
          <w:lang w:val="uk-UA"/>
        </w:rPr>
        <w:t>ії, залучення молоді до участі в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громадському житті, впровадження нових форм виховання дітей-сиріт та дітей, позбавлених батьківського піклування.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З метою впровадження нових форм виховання дітей-сиріт та дітей, позбавлених батьків</w:t>
      </w:r>
      <w:r w:rsidR="00474340">
        <w:rPr>
          <w:rFonts w:ascii="Times New Roman" w:hAnsi="Times New Roman"/>
          <w:sz w:val="24"/>
          <w:szCs w:val="24"/>
          <w:lang w:val="uk-UA"/>
        </w:rPr>
        <w:t>ського піклування, у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сільській раді ведеться робота щодо </w:t>
      </w:r>
      <w:r w:rsidRPr="00157E57">
        <w:rPr>
          <w:rFonts w:ascii="Times New Roman" w:hAnsi="Times New Roman"/>
          <w:sz w:val="24"/>
          <w:szCs w:val="24"/>
          <w:lang w:val="uk-UA"/>
        </w:rPr>
        <w:t>поповнення банку даних громадян та сімей, які готові взяти на виховання дітей.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Значна увага приділяється оздоровленню дітей та підлітків.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Основні проблеми: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недостатнє забезпечення матеріально-технічної бази для позашкільної роботи та гуртків;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забезпечення працевлаштування на селі молоді.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Основні цілі: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розвиток та підтримка молодіжного підприємства, забезпечення прав та гарантій молоді на ринку праці;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всебічна підтримка обдарованих дітей та молоді;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активізація роботи щодо впровадження нових форм виховання дітей-сиріт та дітей, позбавлених батьківського піклування. </w:t>
      </w:r>
    </w:p>
    <w:p w:rsidR="00731D00" w:rsidRDefault="00731D00" w:rsidP="007940D1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Pr="00A07BB0">
        <w:rPr>
          <w:rFonts w:ascii="Times New Roman" w:hAnsi="Times New Roman"/>
          <w:b/>
          <w:sz w:val="24"/>
          <w:szCs w:val="24"/>
          <w:lang w:val="uk-UA"/>
        </w:rPr>
        <w:t>. Забезпечення законності та правопорядку</w:t>
      </w:r>
    </w:p>
    <w:p w:rsidR="00063632" w:rsidRPr="00A07BB0" w:rsidRDefault="00F811DB" w:rsidP="007940D1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2020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році в рамках регіональних програм профілактики злочинності, підвищення безпеки дорожнього руху передбачається з метою ослабле</w:t>
      </w:r>
      <w:r w:rsidR="00731D00">
        <w:rPr>
          <w:rFonts w:ascii="Times New Roman" w:hAnsi="Times New Roman"/>
          <w:sz w:val="24"/>
          <w:szCs w:val="24"/>
          <w:lang w:val="uk-UA"/>
        </w:rPr>
        <w:t>ння дії криміногенних факторів  у громаді</w:t>
      </w:r>
      <w:r w:rsidR="00063632" w:rsidRPr="00A07BB0">
        <w:rPr>
          <w:rFonts w:ascii="Times New Roman" w:hAnsi="Times New Roman"/>
          <w:sz w:val="24"/>
          <w:szCs w:val="24"/>
          <w:lang w:val="uk-UA"/>
        </w:rPr>
        <w:t xml:space="preserve"> і, зокрема в період кризових суспільних ситуацій, забезпечити здійснення комплексу заходів щодо:</w:t>
      </w:r>
    </w:p>
    <w:p w:rsidR="00063632" w:rsidRPr="00A07BB0" w:rsidRDefault="00063632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постійного моніторингу та належного реагування на виявлені недоліки;</w:t>
      </w:r>
    </w:p>
    <w:p w:rsidR="00063632" w:rsidRPr="00A07BB0" w:rsidRDefault="00063632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удосконалення системи профілактики злочинності та правопорушень, спрямованої на посилення боротьби з антисоціальними явищами;</w:t>
      </w:r>
    </w:p>
    <w:p w:rsidR="00063632" w:rsidRPr="00A07BB0" w:rsidRDefault="00063632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залучення до виконання програми громадян, зокрема і громадських помічників дільничного інспектора міліції;</w:t>
      </w:r>
    </w:p>
    <w:p w:rsidR="00063632" w:rsidRPr="00A07BB0" w:rsidRDefault="00063632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підвищення оперативності реагування на вчинені злочини і правопорушення та їх виявлення.</w:t>
      </w:r>
    </w:p>
    <w:p w:rsidR="00731D00" w:rsidRDefault="00731D00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A07BB0">
        <w:rPr>
          <w:rFonts w:ascii="Times New Roman" w:hAnsi="Times New Roman"/>
          <w:b/>
          <w:sz w:val="24"/>
          <w:szCs w:val="24"/>
          <w:lang w:val="uk-UA"/>
        </w:rPr>
        <w:t>. Торгівля та побутові послуги населенню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Сфера внутрішньої торгівлі, громадського харчування та побутового обслуговування населення є важливо</w:t>
      </w:r>
      <w:r w:rsidR="00731D00">
        <w:rPr>
          <w:rFonts w:ascii="Times New Roman" w:hAnsi="Times New Roman"/>
          <w:sz w:val="24"/>
          <w:szCs w:val="24"/>
          <w:lang w:val="uk-UA"/>
        </w:rPr>
        <w:t>ю складовою внутрішнього ринку й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відіграє значну роль як у формуванні загального </w:t>
      </w:r>
      <w:r w:rsidR="00731D00">
        <w:rPr>
          <w:rFonts w:ascii="Times New Roman" w:hAnsi="Times New Roman"/>
          <w:sz w:val="24"/>
          <w:szCs w:val="24"/>
          <w:lang w:val="uk-UA"/>
        </w:rPr>
        <w:t>економічного потенціалу, так і в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забезпеченні потреб населення в товарах і послугах на території об’єднаної громади. Політика у сфері внутрішньої торгівлі спрямована на забезпечення стабілізації споживчого ринку для задоволення соціальних потреб населення, підвищення ефективності правового захисту комерційних відносин між товаровиробниками, продавцями і споживачами на всіх етапах просування товарів. Потреба населення в основних продовольчих та господарських групах товару забезпечується в достатній мірі за прийнятними цінами.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Основні проблеми: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відсутність побутових послуг на території об’єднаної громади. 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Основні цілі: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- пошук шляхів вирішення питання забезпечення населення необхідними видами побутових послуг.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Критерії досягнення цілей:</w:t>
      </w:r>
    </w:p>
    <w:p w:rsidR="00063632" w:rsidRPr="00A07BB0" w:rsidRDefault="00063632" w:rsidP="007940D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співпраця з власниками об’єктів торгівлі; </w:t>
      </w:r>
    </w:p>
    <w:p w:rsidR="00731D00" w:rsidRDefault="00731D00" w:rsidP="007940D1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lastRenderedPageBreak/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10</w:t>
      </w:r>
      <w:r w:rsidRPr="00A07BB0">
        <w:rPr>
          <w:rFonts w:ascii="Times New Roman" w:hAnsi="Times New Roman"/>
          <w:b/>
          <w:sz w:val="24"/>
          <w:szCs w:val="24"/>
          <w:lang w:val="uk-UA"/>
        </w:rPr>
        <w:t>. Технічна та інноваційна діяльність</w:t>
      </w:r>
    </w:p>
    <w:p w:rsidR="00063632" w:rsidRPr="00A07BB0" w:rsidRDefault="00063632" w:rsidP="007940D1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>У 2020</w:t>
      </w:r>
      <w:r w:rsidR="00731D00">
        <w:rPr>
          <w:rFonts w:ascii="Times New Roman" w:hAnsi="Times New Roman"/>
          <w:sz w:val="24"/>
          <w:szCs w:val="24"/>
          <w:lang w:val="uk-UA"/>
        </w:rPr>
        <w:t xml:space="preserve"> ро</w:t>
      </w:r>
      <w:r w:rsidR="00F811DB">
        <w:rPr>
          <w:rFonts w:ascii="Times New Roman" w:hAnsi="Times New Roman"/>
          <w:sz w:val="24"/>
          <w:szCs w:val="24"/>
          <w:lang w:val="uk-UA"/>
        </w:rPr>
        <w:t>ці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для виконання основних завдань у сфері інноваційної діяльності планується забезпечити:</w:t>
      </w:r>
    </w:p>
    <w:p w:rsidR="00063632" w:rsidRPr="00A07BB0" w:rsidRDefault="00063632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     - реалізацію регіональних програм інноваційної спрямованості;</w:t>
      </w:r>
    </w:p>
    <w:p w:rsidR="00063632" w:rsidRDefault="00063632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     - упровадження інноваційних та інвестиційних проектів із застосуванням </w:t>
      </w:r>
      <w:proofErr w:type="spellStart"/>
      <w:r w:rsidRPr="00A07BB0">
        <w:rPr>
          <w:rFonts w:ascii="Times New Roman" w:hAnsi="Times New Roman"/>
          <w:sz w:val="24"/>
          <w:szCs w:val="24"/>
          <w:lang w:val="uk-UA"/>
        </w:rPr>
        <w:t>енерго</w:t>
      </w:r>
      <w:r w:rsidR="00731D00">
        <w:rPr>
          <w:rFonts w:ascii="Times New Roman" w:hAnsi="Times New Roman"/>
          <w:sz w:val="24"/>
          <w:szCs w:val="24"/>
          <w:lang w:val="uk-UA"/>
        </w:rPr>
        <w:t>-</w:t>
      </w:r>
      <w:proofErr w:type="spellEnd"/>
      <w:r w:rsidRPr="00A07BB0">
        <w:rPr>
          <w:rFonts w:ascii="Times New Roman" w:hAnsi="Times New Roman"/>
          <w:sz w:val="24"/>
          <w:szCs w:val="24"/>
          <w:lang w:val="uk-UA"/>
        </w:rPr>
        <w:t xml:space="preserve">  та ресурсозберігаючих технологій.</w:t>
      </w:r>
    </w:p>
    <w:p w:rsidR="00CC00AB" w:rsidRPr="00A07BB0" w:rsidRDefault="00CC00AB" w:rsidP="007940D1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63632" w:rsidRPr="00A07BB0" w:rsidRDefault="00063632" w:rsidP="00794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1.1</w:t>
      </w:r>
      <w:r w:rsidR="00F811DB">
        <w:rPr>
          <w:rFonts w:ascii="Times New Roman" w:hAnsi="Times New Roman"/>
          <w:b/>
          <w:sz w:val="24"/>
          <w:szCs w:val="24"/>
          <w:lang w:val="uk-UA"/>
        </w:rPr>
        <w:t>1</w:t>
      </w:r>
      <w:r w:rsidRPr="00A07BB0">
        <w:rPr>
          <w:rFonts w:ascii="Times New Roman" w:hAnsi="Times New Roman"/>
          <w:b/>
          <w:sz w:val="24"/>
          <w:szCs w:val="24"/>
          <w:lang w:val="uk-UA"/>
        </w:rPr>
        <w:t>. Фінансові ресурси</w:t>
      </w:r>
    </w:p>
    <w:p w:rsidR="00063632" w:rsidRPr="00A07BB0" w:rsidRDefault="00063632" w:rsidP="007940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Головними напрямами щодо забезпече</w:t>
      </w:r>
      <w:r w:rsidR="00F811DB">
        <w:rPr>
          <w:rFonts w:ascii="Times New Roman" w:hAnsi="Times New Roman"/>
          <w:sz w:val="24"/>
          <w:szCs w:val="24"/>
          <w:lang w:val="uk-UA"/>
        </w:rPr>
        <w:t xml:space="preserve">ння наповнюваності бюджету у </w:t>
      </w:r>
      <w:r>
        <w:rPr>
          <w:rFonts w:ascii="Times New Roman" w:hAnsi="Times New Roman"/>
          <w:sz w:val="24"/>
          <w:szCs w:val="24"/>
          <w:lang w:val="uk-UA"/>
        </w:rPr>
        <w:t>2020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ках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визначено: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забезпечення повноти сплати орендної плати за земельні ділянки державної і комунальної власності згідно з укладеними договорами оренди землі;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удосконалення управління приватними майновими паями селян, шляхом передачі їх в оренду та концесію, корпоратизації, акціонування чи продажу через аукціони;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забезпечення своєчасності і повноти сплати податків і зборів (обов’язкових платежів) до зведеного, державного та місцевих бюджетів;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цільове, раціональне та економне витрачання бюджетних коштів;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забезпечення першочергових та соціально захищених видатків;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забезпечення своєчасних та повних розрахунків об’єктів бюджетної сфери села за спожиті енергоресурси; 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посилення попереднього та поточного контролю за цільовим та ефективним використанням бюджетних коштів, вжиття дієвих заходів щодо попередження порушень та вчасного усунення виявлених порушень.</w:t>
      </w:r>
    </w:p>
    <w:p w:rsidR="00731D00" w:rsidRDefault="00731D00" w:rsidP="00794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63632" w:rsidRPr="00A07BB0" w:rsidRDefault="00063632" w:rsidP="00794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07BB0">
        <w:rPr>
          <w:rFonts w:ascii="Times New Roman" w:hAnsi="Times New Roman"/>
          <w:b/>
          <w:sz w:val="24"/>
          <w:szCs w:val="24"/>
          <w:lang w:val="uk-UA"/>
        </w:rPr>
        <w:t>1.</w:t>
      </w:r>
      <w:r w:rsidR="00F811DB">
        <w:rPr>
          <w:rFonts w:ascii="Times New Roman" w:hAnsi="Times New Roman"/>
          <w:b/>
          <w:sz w:val="24"/>
          <w:szCs w:val="24"/>
          <w:lang w:val="uk-UA"/>
        </w:rPr>
        <w:t>12</w:t>
      </w:r>
      <w:r w:rsidRPr="00A07BB0">
        <w:rPr>
          <w:rFonts w:ascii="Times New Roman" w:hAnsi="Times New Roman"/>
          <w:sz w:val="24"/>
          <w:szCs w:val="24"/>
          <w:lang w:val="uk-UA"/>
        </w:rPr>
        <w:t>.</w:t>
      </w:r>
      <w:r w:rsidRPr="00A07BB0">
        <w:rPr>
          <w:rFonts w:ascii="Times New Roman" w:hAnsi="Times New Roman"/>
          <w:b/>
          <w:sz w:val="24"/>
          <w:szCs w:val="24"/>
          <w:lang w:val="uk-UA"/>
        </w:rPr>
        <w:t xml:space="preserve"> Регіональний розвиток</w:t>
      </w:r>
    </w:p>
    <w:p w:rsidR="00063632" w:rsidRPr="00A07BB0" w:rsidRDefault="00063632" w:rsidP="007940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З метою наближення рівня життя населення до європейських стандартів та створення умов для посилення економічної активності об'єднаних територіальних громад, що сприятиме поступовому усуненню галузевих і територіальних диспропорцій у розвитку продуктивних силі і забезпеченню прискореного зростання відносно відсталих в економічному та соціальному роз</w:t>
      </w:r>
      <w:r w:rsidR="00F811DB">
        <w:rPr>
          <w:rFonts w:ascii="Times New Roman" w:hAnsi="Times New Roman"/>
          <w:sz w:val="24"/>
          <w:szCs w:val="24"/>
          <w:lang w:val="uk-UA"/>
        </w:rPr>
        <w:t xml:space="preserve">витку сіл і селищ області, у </w:t>
      </w:r>
      <w:r>
        <w:rPr>
          <w:rFonts w:ascii="Times New Roman" w:hAnsi="Times New Roman"/>
          <w:sz w:val="24"/>
          <w:szCs w:val="24"/>
          <w:lang w:val="uk-UA"/>
        </w:rPr>
        <w:t>2020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ках</w:t>
      </w:r>
      <w:r w:rsidRPr="00A07BB0">
        <w:rPr>
          <w:rFonts w:ascii="Times New Roman" w:hAnsi="Times New Roman"/>
          <w:sz w:val="24"/>
          <w:szCs w:val="24"/>
          <w:lang w:val="uk-UA"/>
        </w:rPr>
        <w:t xml:space="preserve"> буде забезпечено: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підвищення ефективності реалізації місцевих, обласних</w:t>
      </w:r>
      <w:r w:rsidR="00731D00">
        <w:rPr>
          <w:rFonts w:ascii="Times New Roman" w:hAnsi="Times New Roman"/>
          <w:sz w:val="24"/>
          <w:szCs w:val="24"/>
          <w:lang w:val="uk-UA"/>
        </w:rPr>
        <w:t>, державних цільових програм що</w:t>
      </w:r>
      <w:r w:rsidRPr="00A07BB0">
        <w:rPr>
          <w:rFonts w:ascii="Times New Roman" w:hAnsi="Times New Roman"/>
          <w:sz w:val="24"/>
          <w:szCs w:val="24"/>
          <w:lang w:val="uk-UA"/>
        </w:rPr>
        <w:t>до розвитку села – проведення моніторингу існуючих цільових програм та обґрунтування їх дієвості</w:t>
      </w:r>
      <w:r w:rsidR="00731D00">
        <w:rPr>
          <w:rFonts w:ascii="Times New Roman" w:hAnsi="Times New Roman"/>
          <w:sz w:val="24"/>
          <w:szCs w:val="24"/>
          <w:lang w:val="uk-UA"/>
        </w:rPr>
        <w:t xml:space="preserve"> й необхідності реалізації на нинішньому</w:t>
      </w:r>
      <w:r w:rsidR="00F811DB">
        <w:rPr>
          <w:rFonts w:ascii="Times New Roman" w:hAnsi="Times New Roman"/>
          <w:sz w:val="24"/>
          <w:szCs w:val="24"/>
          <w:lang w:val="uk-UA"/>
        </w:rPr>
        <w:t xml:space="preserve"> етапі розвитку </w:t>
      </w:r>
      <w:proofErr w:type="spellStart"/>
      <w:r w:rsidR="00F811DB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F811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7BB0">
        <w:rPr>
          <w:rFonts w:ascii="Times New Roman" w:hAnsi="Times New Roman"/>
          <w:sz w:val="24"/>
          <w:szCs w:val="24"/>
          <w:lang w:val="uk-UA"/>
        </w:rPr>
        <w:t>сільської ради; реалізацію заходів регіональної програми розвитку місцевого самоврядування щодо проведення капітальних ремонтів приміщень комунальної власності;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реалізацію заходів Державної стратегії регіонального розвитку, у тому числі: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- забезпечення систем освітлення з використанням </w:t>
      </w:r>
      <w:proofErr w:type="spellStart"/>
      <w:r w:rsidRPr="00A07BB0">
        <w:rPr>
          <w:rFonts w:ascii="Times New Roman" w:hAnsi="Times New Roman"/>
          <w:sz w:val="24"/>
          <w:szCs w:val="24"/>
          <w:lang w:val="uk-UA"/>
        </w:rPr>
        <w:t>енергоефективних</w:t>
      </w:r>
      <w:proofErr w:type="spellEnd"/>
      <w:r w:rsidRPr="00A07BB0">
        <w:rPr>
          <w:rFonts w:ascii="Times New Roman" w:hAnsi="Times New Roman"/>
          <w:sz w:val="24"/>
          <w:szCs w:val="24"/>
          <w:lang w:val="uk-UA"/>
        </w:rPr>
        <w:t xml:space="preserve"> ламп;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організацію підвищення кваліфікації та перепідготовки працівників соціальних служб у центрах перепідготовки та підвищення кваліфікації працівників о</w:t>
      </w:r>
      <w:r w:rsidR="00731D00">
        <w:rPr>
          <w:rFonts w:ascii="Times New Roman" w:hAnsi="Times New Roman"/>
          <w:sz w:val="24"/>
          <w:szCs w:val="24"/>
          <w:lang w:val="uk-UA"/>
        </w:rPr>
        <w:t>рганів місцевого самоврядування</w:t>
      </w:r>
      <w:r w:rsidRPr="00A07BB0">
        <w:rPr>
          <w:rFonts w:ascii="Times New Roman" w:hAnsi="Times New Roman"/>
          <w:sz w:val="24"/>
          <w:szCs w:val="24"/>
          <w:lang w:val="uk-UA"/>
        </w:rPr>
        <w:t>;</w:t>
      </w:r>
    </w:p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>- забезпечення раціонального використання земельних ресурсів з урахуванням потреб населення села.</w:t>
      </w: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940D1" w:rsidRDefault="007940D1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940D1" w:rsidRDefault="007940D1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940D1" w:rsidRDefault="007940D1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Default="00731D00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ради: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З.А.Алексєєва</w:t>
      </w: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63632" w:rsidRDefault="00063632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57E57" w:rsidRDefault="00681A4D" w:rsidP="007940D1">
      <w:pPr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</w:t>
      </w:r>
      <w:r w:rsidR="00157E57">
        <w:rPr>
          <w:rFonts w:ascii="Times New Roman" w:hAnsi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                      до </w:t>
      </w:r>
      <w:r w:rsidR="00157E57">
        <w:rPr>
          <w:rFonts w:ascii="Times New Roman" w:hAnsi="Times New Roman"/>
          <w:sz w:val="28"/>
          <w:szCs w:val="28"/>
          <w:lang w:val="uk-UA"/>
        </w:rPr>
        <w:t xml:space="preserve">Програми соціально-економічного розвитку                                                   </w:t>
      </w:r>
      <w:proofErr w:type="spellStart"/>
      <w:r w:rsidR="00157E57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157E57">
        <w:rPr>
          <w:rFonts w:ascii="Times New Roman" w:hAnsi="Times New Roman"/>
          <w:sz w:val="28"/>
          <w:szCs w:val="28"/>
          <w:lang w:val="uk-UA"/>
        </w:rPr>
        <w:t xml:space="preserve"> сільської ради,                                                                    затвердженої </w:t>
      </w:r>
      <w:r w:rsidR="00157E57">
        <w:rPr>
          <w:rFonts w:ascii="Times New Roman" w:hAnsi="Times New Roman"/>
          <w:sz w:val="28"/>
          <w:szCs w:val="28"/>
          <w:lang w:val="uk-UA"/>
        </w:rPr>
        <w:t>рішення</w:t>
      </w:r>
      <w:r w:rsidR="00157E57">
        <w:rPr>
          <w:rFonts w:ascii="Times New Roman" w:hAnsi="Times New Roman"/>
          <w:sz w:val="28"/>
          <w:szCs w:val="28"/>
          <w:lang w:val="uk-UA"/>
        </w:rPr>
        <w:t>м</w:t>
      </w:r>
      <w:r w:rsidR="00157E57">
        <w:rPr>
          <w:rFonts w:ascii="Times New Roman" w:hAnsi="Times New Roman"/>
          <w:sz w:val="28"/>
          <w:szCs w:val="28"/>
          <w:lang w:val="uk-UA"/>
        </w:rPr>
        <w:t xml:space="preserve"> ХХХ</w:t>
      </w:r>
      <w:r w:rsidR="00157E57">
        <w:rPr>
          <w:rFonts w:ascii="Times New Roman" w:hAnsi="Times New Roman"/>
          <w:sz w:val="28"/>
          <w:szCs w:val="28"/>
          <w:lang w:val="en-US"/>
        </w:rPr>
        <w:t>V</w:t>
      </w:r>
      <w:r w:rsidR="00157E57">
        <w:rPr>
          <w:rFonts w:ascii="Times New Roman" w:hAnsi="Times New Roman"/>
          <w:sz w:val="28"/>
          <w:szCs w:val="28"/>
          <w:lang w:val="uk-UA"/>
        </w:rPr>
        <w:t xml:space="preserve"> сесії 8 скликання                                                                   </w:t>
      </w:r>
      <w:proofErr w:type="spellStart"/>
      <w:r w:rsidR="00157E57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157E57">
        <w:rPr>
          <w:rFonts w:ascii="Times New Roman" w:hAnsi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від 24 грудня 2019 року № </w:t>
      </w:r>
      <w:r w:rsidR="00157E57">
        <w:rPr>
          <w:rFonts w:ascii="Times New Roman" w:hAnsi="Times New Roman"/>
          <w:sz w:val="28"/>
          <w:szCs w:val="28"/>
          <w:lang w:val="uk-UA"/>
        </w:rPr>
        <w:t>3</w:t>
      </w:r>
    </w:p>
    <w:p w:rsidR="007940D1" w:rsidRDefault="007940D1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0559A" w:rsidRPr="00731D00" w:rsidRDefault="00681A4D" w:rsidP="007940D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1D00">
        <w:rPr>
          <w:rFonts w:ascii="Times New Roman" w:hAnsi="Times New Roman"/>
          <w:b/>
          <w:sz w:val="24"/>
          <w:szCs w:val="24"/>
          <w:lang w:val="uk-UA"/>
        </w:rPr>
        <w:t xml:space="preserve">ЗАХОДИ  ПРОГРАМИ </w:t>
      </w:r>
      <w:r w:rsidR="00063632" w:rsidRPr="00731D00">
        <w:rPr>
          <w:rFonts w:ascii="Times New Roman" w:hAnsi="Times New Roman"/>
          <w:b/>
          <w:sz w:val="24"/>
          <w:szCs w:val="24"/>
          <w:lang w:val="uk-UA"/>
        </w:rPr>
        <w:t xml:space="preserve"> СОЦІАЛЬНО-ЕКОНОМІЧНОГО</w:t>
      </w:r>
    </w:p>
    <w:p w:rsidR="00063632" w:rsidRPr="00731D00" w:rsidRDefault="0010559A" w:rsidP="007940D1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  <w:r w:rsidRPr="00731D00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731D00" w:rsidRPr="00731D00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731D00">
        <w:rPr>
          <w:rFonts w:ascii="Times New Roman" w:hAnsi="Times New Roman"/>
          <w:b/>
          <w:sz w:val="24"/>
          <w:szCs w:val="24"/>
          <w:lang w:val="uk-UA"/>
        </w:rPr>
        <w:t xml:space="preserve">РОЗВИТКУ </w:t>
      </w:r>
      <w:r w:rsidR="005963B8" w:rsidRPr="00731D00">
        <w:rPr>
          <w:rFonts w:ascii="Times New Roman" w:hAnsi="Times New Roman"/>
          <w:b/>
          <w:sz w:val="24"/>
          <w:szCs w:val="24"/>
          <w:lang w:val="uk-UA"/>
        </w:rPr>
        <w:t xml:space="preserve">ПРИБУЖАНІВСЬКОЇ </w:t>
      </w:r>
      <w:r w:rsidR="00063632" w:rsidRPr="00731D00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</w:t>
      </w:r>
    </w:p>
    <w:p w:rsidR="00063632" w:rsidRPr="00731D00" w:rsidRDefault="00063632" w:rsidP="00794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261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39"/>
        <w:gridCol w:w="6751"/>
        <w:gridCol w:w="1971"/>
      </w:tblGrid>
      <w:tr w:rsidR="005963B8" w:rsidRPr="00731D00" w:rsidTr="00116B4B">
        <w:trPr>
          <w:trHeight w:val="115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3B8" w:rsidRPr="00731D00" w:rsidRDefault="005963B8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6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B8" w:rsidRPr="00731D00" w:rsidRDefault="00681A4D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Назва заходу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B8" w:rsidRPr="00731D00" w:rsidRDefault="00731D00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Орієнтовна сума (</w:t>
            </w:r>
            <w:r w:rsidR="005963B8"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грн.)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5963B8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3B8" w:rsidRPr="00731D00" w:rsidRDefault="005963B8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B8" w:rsidRPr="00731D00" w:rsidRDefault="005963B8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Придбання автомобіля для адміністрації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3B8" w:rsidRPr="00731D00" w:rsidRDefault="00731D00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590 0</w:t>
            </w:r>
            <w:r w:rsidR="005963B8"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Pr="00731D00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Поточний ремонт підлоги  в </w:t>
            </w:r>
            <w:proofErr w:type="spellStart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Дмитрівському</w:t>
            </w:r>
            <w:proofErr w:type="spellEnd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БК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Pr="00731D00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65 000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Встановлення меж населених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пунктів, інвентаризація земель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Pr="00731D00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1 000 0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 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льних планів  населених пунктів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650 0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Поточний ремонт приміщення сільської ради за адресою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:                 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Прибужани</w:t>
            </w:r>
            <w:proofErr w:type="spellEnd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,  Одеська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18.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      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Поточний ремонт електромережі в </w:t>
            </w:r>
            <w:proofErr w:type="spellStart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адмінбудівлі</w:t>
            </w:r>
            <w:proofErr w:type="spellEnd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в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Дмитрівка</w:t>
            </w:r>
            <w:proofErr w:type="spellEnd"/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Облаштування</w:t>
            </w:r>
            <w:proofErr w:type="spellEnd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охоронної</w:t>
            </w:r>
            <w:proofErr w:type="spellEnd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зони</w:t>
            </w:r>
            <w:proofErr w:type="spellEnd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свердловини  </w:t>
            </w:r>
            <w:proofErr w:type="spellStart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Новосілківського</w:t>
            </w:r>
            <w:proofErr w:type="spellEnd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731D0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округу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507 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Поточний ремонт доріг комунальної власності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100 0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157E57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157E57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57" w:rsidRPr="00731D00" w:rsidRDefault="00157E57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Придбання Ноутбук у/ ПК з такими характеристиками: 4Core x2; 8 </w:t>
            </w:r>
            <w:proofErr w:type="spellStart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Гб</w:t>
            </w:r>
            <w:proofErr w:type="spellEnd"/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оперативної пам’яті; HDD-250GB, Інтернет та  ліцензійного програмного забезпечення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для спів фінансування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проє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«Створення документації з просторового планування території та землевпорядних робіт у 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ОТГ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комплексне просторове планування</w:t>
            </w:r>
            <w:r w:rsidRPr="00731D00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E57" w:rsidRDefault="007940D1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40 0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7940D1" w:rsidRPr="00731D00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0D1" w:rsidRDefault="007940D1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0D1" w:rsidRPr="00731D00" w:rsidRDefault="007940D1" w:rsidP="00794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Придбання багатофункціонального</w:t>
            </w:r>
            <w:r w:rsidRPr="00731D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пристрою  (БФУ): принтер + сканер, дуплекс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0D1" w:rsidRDefault="007940D1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7940D1" w:rsidRPr="007940D1" w:rsidTr="00116B4B">
        <w:trPr>
          <w:trHeight w:val="5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0D1" w:rsidRDefault="007940D1" w:rsidP="0079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0D1" w:rsidRPr="007940D1" w:rsidRDefault="007940D1" w:rsidP="00794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D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ліцензійного забезпечення для </w:t>
            </w:r>
            <w:proofErr w:type="spellStart"/>
            <w:r w:rsidRPr="00731D00">
              <w:rPr>
                <w:rFonts w:ascii="Times New Roman" w:hAnsi="Times New Roman"/>
                <w:sz w:val="24"/>
                <w:szCs w:val="24"/>
              </w:rPr>
              <w:t>ArcGIS</w:t>
            </w:r>
            <w:proofErr w:type="spellEnd"/>
            <w:r w:rsidRPr="00731D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31D00">
              <w:rPr>
                <w:rFonts w:ascii="Times New Roman" w:hAnsi="Times New Roman"/>
                <w:sz w:val="24"/>
                <w:szCs w:val="24"/>
              </w:rPr>
              <w:t>ArcGIS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1D00">
              <w:rPr>
                <w:rFonts w:ascii="Times New Roman" w:hAnsi="Times New Roman"/>
                <w:sz w:val="24"/>
                <w:szCs w:val="24"/>
              </w:rPr>
              <w:t>Desktop</w:t>
            </w:r>
            <w:proofErr w:type="spellEnd"/>
            <w:r w:rsidRPr="00731D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одного робочого місця)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0D1" w:rsidRDefault="007940D1" w:rsidP="00794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40 0</w:t>
            </w:r>
            <w:r w:rsidRPr="00731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</w:tbl>
    <w:p w:rsidR="00063632" w:rsidRPr="00A07BB0" w:rsidRDefault="00063632" w:rsidP="007940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07BB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063632" w:rsidRPr="00A07BB0" w:rsidSect="001B6E1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E1221"/>
    <w:multiLevelType w:val="multilevel"/>
    <w:tmpl w:val="7C2895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64474463"/>
    <w:multiLevelType w:val="hybridMultilevel"/>
    <w:tmpl w:val="51524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1BC"/>
    <w:rsid w:val="000038E2"/>
    <w:rsid w:val="000077F9"/>
    <w:rsid w:val="00034E4D"/>
    <w:rsid w:val="00047B1F"/>
    <w:rsid w:val="00063632"/>
    <w:rsid w:val="0008587C"/>
    <w:rsid w:val="0009106E"/>
    <w:rsid w:val="000B3576"/>
    <w:rsid w:val="000B77DC"/>
    <w:rsid w:val="000D5B8F"/>
    <w:rsid w:val="0010559A"/>
    <w:rsid w:val="00116B4B"/>
    <w:rsid w:val="00157C7A"/>
    <w:rsid w:val="00157E57"/>
    <w:rsid w:val="001B6E1E"/>
    <w:rsid w:val="001E639D"/>
    <w:rsid w:val="00285FD5"/>
    <w:rsid w:val="002C2820"/>
    <w:rsid w:val="003018CB"/>
    <w:rsid w:val="00315BB7"/>
    <w:rsid w:val="00340500"/>
    <w:rsid w:val="003F45EA"/>
    <w:rsid w:val="00425748"/>
    <w:rsid w:val="004559C8"/>
    <w:rsid w:val="00474340"/>
    <w:rsid w:val="004B1704"/>
    <w:rsid w:val="00573EC5"/>
    <w:rsid w:val="005963B8"/>
    <w:rsid w:val="005A1327"/>
    <w:rsid w:val="005A6E5A"/>
    <w:rsid w:val="005C5B74"/>
    <w:rsid w:val="00612FDB"/>
    <w:rsid w:val="00647FB1"/>
    <w:rsid w:val="00681A4D"/>
    <w:rsid w:val="00685F02"/>
    <w:rsid w:val="006A2F63"/>
    <w:rsid w:val="006C4CB5"/>
    <w:rsid w:val="006E466B"/>
    <w:rsid w:val="00727264"/>
    <w:rsid w:val="00731D00"/>
    <w:rsid w:val="007413F9"/>
    <w:rsid w:val="007414A2"/>
    <w:rsid w:val="00755CF8"/>
    <w:rsid w:val="00783897"/>
    <w:rsid w:val="007940D1"/>
    <w:rsid w:val="007A4797"/>
    <w:rsid w:val="007B7162"/>
    <w:rsid w:val="00804EF9"/>
    <w:rsid w:val="00807D1A"/>
    <w:rsid w:val="00824F7F"/>
    <w:rsid w:val="00860E86"/>
    <w:rsid w:val="00882005"/>
    <w:rsid w:val="008B1B35"/>
    <w:rsid w:val="008B1D7A"/>
    <w:rsid w:val="008E6F98"/>
    <w:rsid w:val="00926EF3"/>
    <w:rsid w:val="00930DBA"/>
    <w:rsid w:val="00931861"/>
    <w:rsid w:val="009332CD"/>
    <w:rsid w:val="0093566F"/>
    <w:rsid w:val="009E0B29"/>
    <w:rsid w:val="00A07BB0"/>
    <w:rsid w:val="00A14737"/>
    <w:rsid w:val="00A47ECD"/>
    <w:rsid w:val="00A54A6C"/>
    <w:rsid w:val="00A727DB"/>
    <w:rsid w:val="00A72BE1"/>
    <w:rsid w:val="00B354B1"/>
    <w:rsid w:val="00B52C00"/>
    <w:rsid w:val="00BB77E1"/>
    <w:rsid w:val="00C114CC"/>
    <w:rsid w:val="00C2715D"/>
    <w:rsid w:val="00C351BC"/>
    <w:rsid w:val="00CB37C2"/>
    <w:rsid w:val="00CC00AB"/>
    <w:rsid w:val="00CC4F22"/>
    <w:rsid w:val="00CF3668"/>
    <w:rsid w:val="00D65FA6"/>
    <w:rsid w:val="00D775A7"/>
    <w:rsid w:val="00DF72A7"/>
    <w:rsid w:val="00E44AFF"/>
    <w:rsid w:val="00E46328"/>
    <w:rsid w:val="00E46776"/>
    <w:rsid w:val="00EA2BDC"/>
    <w:rsid w:val="00EF5B3E"/>
    <w:rsid w:val="00F1512F"/>
    <w:rsid w:val="00F4494C"/>
    <w:rsid w:val="00F811DB"/>
    <w:rsid w:val="00FA6595"/>
    <w:rsid w:val="00FA70C9"/>
    <w:rsid w:val="00FB077F"/>
    <w:rsid w:val="00FB4C94"/>
    <w:rsid w:val="00FD3469"/>
    <w:rsid w:val="00FE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B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566F"/>
    <w:pPr>
      <w:ind w:left="720"/>
      <w:contextualSpacing/>
    </w:pPr>
  </w:style>
  <w:style w:type="paragraph" w:customStyle="1" w:styleId="12">
    <w:name w:val="Обычный + 12"/>
    <w:basedOn w:val="a"/>
    <w:uiPriority w:val="99"/>
    <w:rsid w:val="00D775A7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val="uk-UA" w:eastAsia="ru-RU"/>
    </w:rPr>
  </w:style>
  <w:style w:type="paragraph" w:customStyle="1" w:styleId="120">
    <w:name w:val="Обычный+12"/>
    <w:basedOn w:val="a"/>
    <w:uiPriority w:val="99"/>
    <w:rsid w:val="00D775A7"/>
    <w:pPr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BB77E1"/>
    <w:rPr>
      <w:rFonts w:cs="Times New Roman"/>
    </w:rPr>
  </w:style>
  <w:style w:type="table" w:styleId="a4">
    <w:name w:val="Table Grid"/>
    <w:basedOn w:val="a1"/>
    <w:uiPriority w:val="99"/>
    <w:rsid w:val="00CB37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6A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A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A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6A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A2F63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6A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A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A2F63"/>
    <w:pPr>
      <w:widowControl w:val="0"/>
      <w:autoSpaceDE w:val="0"/>
      <w:autoSpaceDN w:val="0"/>
      <w:adjustRightInd w:val="0"/>
      <w:spacing w:after="0" w:line="398" w:lineRule="exact"/>
      <w:ind w:hanging="10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6A2F6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6A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6A2F63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6A2F6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0">
    <w:name w:val="Font Style40"/>
    <w:uiPriority w:val="99"/>
    <w:rsid w:val="006A2F63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uiPriority w:val="99"/>
    <w:rsid w:val="006A2F63"/>
    <w:rPr>
      <w:rFonts w:ascii="Constantia" w:hAnsi="Constantia" w:cs="Constantia"/>
      <w:sz w:val="18"/>
      <w:szCs w:val="18"/>
    </w:rPr>
  </w:style>
  <w:style w:type="character" w:customStyle="1" w:styleId="FontStyle42">
    <w:name w:val="Font Style42"/>
    <w:uiPriority w:val="99"/>
    <w:rsid w:val="006A2F63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uiPriority w:val="99"/>
    <w:rsid w:val="006A2F63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uiPriority w:val="99"/>
    <w:rsid w:val="006A2F6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uiPriority w:val="99"/>
    <w:rsid w:val="006A2F63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1B6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1B6E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6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17089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XTreme.ws</cp:lastModifiedBy>
  <cp:revision>9</cp:revision>
  <cp:lastPrinted>2019-12-19T06:39:00Z</cp:lastPrinted>
  <dcterms:created xsi:type="dcterms:W3CDTF">2018-03-12T09:15:00Z</dcterms:created>
  <dcterms:modified xsi:type="dcterms:W3CDTF">2019-12-19T06:40:00Z</dcterms:modified>
</cp:coreProperties>
</file>