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A16" w:rsidRPr="00575ECE" w:rsidRDefault="00557A16" w:rsidP="008150CB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val="uk-UA" w:eastAsia="ru-RU"/>
        </w:rPr>
      </w:pPr>
    </w:p>
    <w:p w:rsidR="00557A16" w:rsidRPr="00575ECE" w:rsidRDefault="00557A16" w:rsidP="00557A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>АНАЛІЗ</w:t>
      </w: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РЕГУЛЯТОРНОГО ВПЛИВУ</w:t>
      </w:r>
    </w:p>
    <w:p w:rsidR="00557A16" w:rsidRPr="00575ECE" w:rsidRDefault="00557A16" w:rsidP="00557A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проекту рішення </w:t>
      </w:r>
      <w:r w:rsidR="008150CB"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Прибужанівської </w:t>
      </w: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/>
        </w:rPr>
        <w:t xml:space="preserve"> сільської ради</w:t>
      </w:r>
    </w:p>
    <w:p w:rsidR="00557A16" w:rsidRPr="00575ECE" w:rsidRDefault="00557A16" w:rsidP="00A62531">
      <w:pPr>
        <w:pStyle w:val="a3"/>
        <w:shd w:val="clear" w:color="auto" w:fill="FFFFFF"/>
        <w:spacing w:before="0" w:beforeAutospacing="0" w:after="0" w:afterAutospacing="0" w:line="240" w:lineRule="atLeast"/>
        <w:jc w:val="center"/>
        <w:rPr>
          <w:lang w:val="uk-UA"/>
        </w:rPr>
      </w:pPr>
      <w:r w:rsidRPr="00575ECE">
        <w:rPr>
          <w:b/>
          <w:bCs/>
          <w:color w:val="333333"/>
          <w:lang w:val="uk-UA"/>
        </w:rPr>
        <w:t>«</w:t>
      </w:r>
      <w:r w:rsidR="00A62531" w:rsidRPr="00575ECE">
        <w:rPr>
          <w:lang w:val="uk-UA"/>
        </w:rPr>
        <w:t>Про затвердження Положень та ставок місцевих податків і зборів на території Прибужанівської</w:t>
      </w:r>
      <w:r w:rsidR="00A62531" w:rsidRPr="00575ECE">
        <w:t> </w:t>
      </w:r>
      <w:r w:rsidR="00A62531" w:rsidRPr="00575ECE">
        <w:rPr>
          <w:lang w:val="uk-UA"/>
        </w:rPr>
        <w:t xml:space="preserve"> сільської ради на 2019</w:t>
      </w:r>
      <w:r w:rsidR="00D42FE7" w:rsidRPr="00575ECE">
        <w:rPr>
          <w:lang w:val="uk-UA"/>
        </w:rPr>
        <w:t xml:space="preserve"> рік</w:t>
      </w:r>
      <w:r w:rsidRPr="00575ECE">
        <w:rPr>
          <w:b/>
          <w:bCs/>
          <w:color w:val="333333"/>
          <w:lang w:val="uk-UA"/>
        </w:rPr>
        <w:t>»</w:t>
      </w:r>
    </w:p>
    <w:p w:rsidR="00A62531" w:rsidRPr="00575ECE" w:rsidRDefault="00A62531" w:rsidP="00557A1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lang w:val="uk-UA"/>
        </w:rPr>
      </w:pPr>
    </w:p>
    <w:p w:rsidR="00557A16" w:rsidRPr="00575ECE" w:rsidRDefault="00557A16" w:rsidP="00557A1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</w:rPr>
      </w:pPr>
      <w:r w:rsidRPr="00575ECE">
        <w:rPr>
          <w:b/>
          <w:color w:val="333333"/>
        </w:rPr>
        <w:t>1.Визначення проблеми</w:t>
      </w:r>
    </w:p>
    <w:p w:rsid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      Відповідно статті 10 та пункту 12.3 статті 12 Податкового кодексу України законодавчо закріплено право органів місцевого самоврядування приймати рішення про встановлення місцевих податків і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межах своїх повноважень та в порядку, визначеному цим кодексом.</w:t>
      </w:r>
      <w:r w:rsidR="00575ECE">
        <w:rPr>
          <w:color w:val="333333"/>
          <w:lang w:val="uk-UA"/>
        </w:rPr>
        <w:t xml:space="preserve">                                                       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про встановлення місцевих податків і зборів є нормативно-правовим актом, копія якого надсилається в електронному вигляді у десятиденний строк з дня прийняття до контролюючого органу, в якому перебувають на обліку платники відповідних місцевих податків та зборів, але не пізніше 1 липня року та офіційно оприлюднюється органом місцевого самоврядування до 15 липня, що передує бюджетному періоду, в якому планується застосовування встановлюваних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 або змін до них (плановий період).</w:t>
      </w:r>
      <w:r w:rsidR="00575ECE" w:rsidRPr="00575ECE">
        <w:rPr>
          <w:color w:val="333333"/>
          <w:lang w:val="uk-UA"/>
        </w:rPr>
        <w:t xml:space="preserve"> </w:t>
      </w:r>
      <w:r w:rsidRPr="00575ECE">
        <w:rPr>
          <w:color w:val="333333"/>
        </w:rPr>
        <w:t xml:space="preserve">В іншому разі норми відповідних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ішень застосовуються не раніше початку бюджетного періоду, що настає за плановим періодом.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У разі якщо сільська рада не прийняла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про встановлення відповідних місцевих податків і зборів, що є обов’язковими згідно з нормами Податкового кодексу, такі податки до прийняття рішення справляються</w:t>
      </w:r>
      <w:r w:rsidR="00575ECE" w:rsidRPr="00575ECE">
        <w:rPr>
          <w:color w:val="333333"/>
          <w:lang w:val="uk-UA"/>
        </w:rPr>
        <w:t>,</w:t>
      </w:r>
      <w:r w:rsidRPr="00575ECE">
        <w:rPr>
          <w:color w:val="333333"/>
        </w:rPr>
        <w:t xml:space="preserve"> виходячи з норм Податкового кодексу із застосуванням їх мінімальних ставок, а плата за землю буде справляться із застосуванням ставок, які діяли до 31 грудня року, що передує бюджетному,</w:t>
      </w:r>
      <w:r w:rsidR="00575ECE" w:rsidRPr="00575ECE">
        <w:rPr>
          <w:color w:val="333333"/>
          <w:lang w:val="uk-UA"/>
        </w:rPr>
        <w:t xml:space="preserve"> у</w:t>
      </w:r>
      <w:r w:rsidRPr="00575ECE">
        <w:rPr>
          <w:color w:val="333333"/>
        </w:rPr>
        <w:t xml:space="preserve"> якому планується застосування плати за землю.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Місцеві податки і збори зараховуються в повному обсязі </w:t>
      </w:r>
      <w:proofErr w:type="gramStart"/>
      <w:r w:rsidRPr="00575ECE">
        <w:rPr>
          <w:color w:val="333333"/>
        </w:rPr>
        <w:t>до</w:t>
      </w:r>
      <w:proofErr w:type="gramEnd"/>
      <w:r w:rsidRPr="00575ECE">
        <w:rPr>
          <w:color w:val="333333"/>
        </w:rPr>
        <w:t xml:space="preserve"> сільського бюджету об'єднаної територіальної громади та є бюджето-формуючим джерелом на забезпечення діяльності функціонування бюджетних установ та на благоустрій територій територіальної громади. 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  впорядкує деякі питання  ведення бізнесу, зменшить витрати часу платників податків на виконання обов’язкових процедур щодо декларування сум податків та їх сплату, підвищить інвестиційну привабливість населених пунктів сільської ради.</w:t>
      </w:r>
    </w:p>
    <w:p w:rsidR="00557A16" w:rsidRPr="00575ECE" w:rsidRDefault="00557A16" w:rsidP="00A6253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Виходяч</w:t>
      </w:r>
      <w:r w:rsidR="00575ECE" w:rsidRPr="00575ECE">
        <w:rPr>
          <w:color w:val="333333"/>
        </w:rPr>
        <w:t>и з вищевикладеного, з метою</w:t>
      </w:r>
      <w:r w:rsidRPr="00575ECE">
        <w:rPr>
          <w:color w:val="333333"/>
        </w:rPr>
        <w:t xml:space="preserve"> безумовного виконання Податкового кодексу України, недопущення суперечливих ситуацій, забезпечення дохідної частини сільського бюджету, виконання програм </w:t>
      </w:r>
      <w:proofErr w:type="gramStart"/>
      <w:r w:rsidRPr="00575ECE">
        <w:rPr>
          <w:color w:val="333333"/>
        </w:rPr>
        <w:t>соц</w:t>
      </w:r>
      <w:proofErr w:type="gramEnd"/>
      <w:r w:rsidRPr="00575ECE">
        <w:rPr>
          <w:color w:val="333333"/>
        </w:rPr>
        <w:t>іально-економіч</w:t>
      </w:r>
      <w:r w:rsidR="00575ECE">
        <w:rPr>
          <w:color w:val="333333"/>
        </w:rPr>
        <w:t xml:space="preserve">ного розвитку </w:t>
      </w:r>
      <w:r w:rsidR="00575ECE">
        <w:rPr>
          <w:color w:val="333333"/>
          <w:lang w:val="uk-UA"/>
        </w:rPr>
        <w:t>об’єднаної територіальної громади</w:t>
      </w:r>
      <w:r w:rsidRPr="00575ECE">
        <w:rPr>
          <w:color w:val="333333"/>
        </w:rPr>
        <w:t>, сільська рада має прийняти рішення </w:t>
      </w:r>
      <w:r w:rsidRPr="00575ECE">
        <w:rPr>
          <w:b/>
          <w:bCs/>
          <w:color w:val="333333"/>
          <w:u w:val="single"/>
        </w:rPr>
        <w:t>«</w:t>
      </w:r>
      <w:r w:rsidR="00D42FE7" w:rsidRPr="00575ECE">
        <w:t>Про затвердження Положень та ставок місцевих податків і зборів на території Прибужанівської  сільської ради на 2019</w:t>
      </w:r>
      <w:r w:rsidR="00D42FE7" w:rsidRPr="00575ECE">
        <w:rPr>
          <w:lang w:val="uk-UA"/>
        </w:rPr>
        <w:t xml:space="preserve"> рік</w:t>
      </w:r>
      <w:r w:rsidRPr="00575ECE">
        <w:rPr>
          <w:b/>
          <w:bCs/>
          <w:color w:val="333333"/>
          <w:u w:val="single"/>
        </w:rPr>
        <w:t>».</w:t>
      </w: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75ECE" w:rsidRDefault="00575ECE" w:rsidP="00557A16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</w:p>
    <w:p w:rsidR="00557A16" w:rsidRPr="00575ECE" w:rsidRDefault="00557A16" w:rsidP="00575EC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Основні групи, </w:t>
      </w:r>
      <w:proofErr w:type="gramStart"/>
      <w:r w:rsidRPr="00575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proofErr w:type="gramEnd"/>
      <w:r w:rsidRPr="00575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які проблема справляє вплив:</w:t>
      </w:r>
    </w:p>
    <w:tbl>
      <w:tblPr>
        <w:tblW w:w="485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2"/>
        <w:gridCol w:w="2646"/>
        <w:gridCol w:w="2259"/>
      </w:tblGrid>
      <w:tr w:rsidR="00557A16" w:rsidRPr="00575ECE" w:rsidTr="00557A16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Групи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Ні</w:t>
            </w:r>
          </w:p>
        </w:tc>
      </w:tr>
      <w:tr w:rsidR="00557A16" w:rsidRPr="00575ECE" w:rsidTr="00557A16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Громадяни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A16" w:rsidRPr="00575ECE" w:rsidTr="00557A16">
        <w:trPr>
          <w:trHeight w:val="315"/>
        </w:trPr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Держава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A16" w:rsidRPr="00575ECE" w:rsidTr="00557A16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Суб’єкти господарювання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57A16" w:rsidRPr="00575ECE" w:rsidTr="00557A16">
        <w:tc>
          <w:tcPr>
            <w:tcW w:w="54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 тому числі суб’єкти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ідприємництва*</w:t>
            </w:r>
          </w:p>
        </w:tc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</w:t>
            </w:r>
          </w:p>
        </w:tc>
        <w:tc>
          <w:tcPr>
            <w:tcW w:w="30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7A16" w:rsidRPr="00575ECE" w:rsidRDefault="00557A16" w:rsidP="00557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575ECE" w:rsidRPr="00575ECE" w:rsidRDefault="00575ECE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Обґрунтування неможливості вирішення проблеми за допомогою ринкових механізмі</w:t>
      </w:r>
      <w:proofErr w:type="gramStart"/>
      <w:r w:rsidRPr="00575ECE">
        <w:rPr>
          <w:b/>
          <w:bCs/>
          <w:color w:val="333333"/>
        </w:rPr>
        <w:t>в</w:t>
      </w:r>
      <w:proofErr w:type="gramEnd"/>
      <w:r w:rsidRPr="00575ECE">
        <w:rPr>
          <w:b/>
          <w:bCs/>
          <w:color w:val="333333"/>
        </w:rPr>
        <w:t>: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Застосування ринкових механізмів для вирішення вказаної проблеми не є можливим, оскільки здійснення вищезазначених заходів є засобом </w:t>
      </w:r>
      <w:proofErr w:type="gramStart"/>
      <w:r w:rsidRPr="00575ECE">
        <w:rPr>
          <w:color w:val="333333"/>
        </w:rPr>
        <w:t>державного</w:t>
      </w:r>
      <w:proofErr w:type="gramEnd"/>
      <w:r w:rsidRPr="00575ECE">
        <w:rPr>
          <w:color w:val="333333"/>
        </w:rPr>
        <w:t xml:space="preserve"> регулювання та відповідно до Податкового кодексу України є компетенцією сільської ради.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Обґрунтування неможливості вирішення проблеми за допомогою діючих регуляторних акті</w:t>
      </w:r>
      <w:proofErr w:type="gramStart"/>
      <w:r w:rsidRPr="00575ECE">
        <w:rPr>
          <w:b/>
          <w:bCs/>
          <w:color w:val="333333"/>
        </w:rPr>
        <w:t>в</w:t>
      </w:r>
      <w:proofErr w:type="gramEnd"/>
      <w:r w:rsidRPr="00575ECE">
        <w:rPr>
          <w:b/>
          <w:bCs/>
          <w:color w:val="333333"/>
        </w:rPr>
        <w:t>: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Зазначена проблема не може бути вирішена за допомогою діючих регуляторних актів з огляду на вимоги Податкового кодексу України. А саме, у разі, якщо сільська рада у термін до 1 липня не прийняла та до 15 липня не оприлюднила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про встановлення місцевих податків і зборів на наступний рік, такі податки справляються, виходячи з норми Податкового кодексу України, із застосуванням їх мінімальних ставок та без застосування відповідних коефіцієнтів, а плата за землю </w:t>
      </w:r>
      <w:proofErr w:type="gramStart"/>
      <w:r w:rsidRPr="00575ECE">
        <w:rPr>
          <w:color w:val="333333"/>
        </w:rPr>
        <w:t>справляється</w:t>
      </w:r>
      <w:proofErr w:type="gramEnd"/>
      <w:r w:rsidRPr="00575ECE">
        <w:rPr>
          <w:color w:val="333333"/>
        </w:rPr>
        <w:t xml:space="preserve"> із застосуванням ставок, які діяли до 31 грудня року, що передує бюджетному періоду, в якому планується застосування плати за землю.</w:t>
      </w:r>
    </w:p>
    <w:p w:rsidR="00557A16" w:rsidRPr="00575ECE" w:rsidRDefault="00557A16" w:rsidP="00575EC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II. </w:t>
      </w:r>
      <w:proofErr w:type="gramStart"/>
      <w:r w:rsidRPr="00575ECE">
        <w:rPr>
          <w:b/>
          <w:bCs/>
          <w:color w:val="333333"/>
        </w:rPr>
        <w:t>Ц</w:t>
      </w:r>
      <w:proofErr w:type="gramEnd"/>
      <w:r w:rsidRPr="00575ECE">
        <w:rPr>
          <w:b/>
          <w:bCs/>
          <w:color w:val="333333"/>
        </w:rPr>
        <w:t>ілі державного регулювання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575ECE">
        <w:rPr>
          <w:b/>
          <w:bCs/>
          <w:color w:val="333333"/>
        </w:rPr>
        <w:t>Ц</w:t>
      </w:r>
      <w:proofErr w:type="gramEnd"/>
      <w:r w:rsidRPr="00575ECE">
        <w:rPr>
          <w:b/>
          <w:bCs/>
          <w:color w:val="333333"/>
        </w:rPr>
        <w:t>ілі державного регулювання, безпосередньо пов'язані з розв'язанням проблеми: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Проект регуляторного акта спрямований на розв’язання проблеми, визначеної в попередньому розділі.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Основними цілями регулювання</w:t>
      </w:r>
      <w:proofErr w:type="gramStart"/>
      <w:r w:rsidRPr="00575ECE">
        <w:rPr>
          <w:color w:val="333333"/>
        </w:rPr>
        <w:t xml:space="preserve"> є:</w:t>
      </w:r>
      <w:proofErr w:type="gramEnd"/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здійснити планування та прогнозування надходжень від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 при формуванні бюджету;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- встановити </w:t>
      </w:r>
      <w:proofErr w:type="gramStart"/>
      <w:r w:rsidRPr="00575ECE">
        <w:rPr>
          <w:color w:val="333333"/>
        </w:rPr>
        <w:t>доц</w:t>
      </w:r>
      <w:proofErr w:type="gramEnd"/>
      <w:r w:rsidRPr="00575ECE">
        <w:rPr>
          <w:color w:val="333333"/>
        </w:rPr>
        <w:t>ільні і обґрунтовані розміри ставок місцевих податків і зборів з урахуванням рівня платоспроможності громадян та суб’єктів господарювання та відповідно до потреб сільського бюджету;</w:t>
      </w:r>
    </w:p>
    <w:p w:rsidR="00557A16" w:rsidRPr="00575ECE" w:rsidRDefault="00557A16" w:rsidP="008150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- встановити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ільги щодо сплати місцевих податків і зборів;</w:t>
      </w:r>
    </w:p>
    <w:p w:rsidR="00557A16" w:rsidRPr="00575ECE" w:rsidRDefault="00557A16" w:rsidP="00557A16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 - забезпечити додаткові надходження до сільського бюджету, з метою забезпечення належного фінансування програм </w:t>
      </w:r>
      <w:proofErr w:type="gramStart"/>
      <w:r w:rsidRPr="00575ECE">
        <w:rPr>
          <w:color w:val="333333"/>
        </w:rPr>
        <w:t>соц</w:t>
      </w:r>
      <w:proofErr w:type="gramEnd"/>
      <w:r w:rsidRPr="00575ECE">
        <w:rPr>
          <w:color w:val="333333"/>
        </w:rPr>
        <w:t>іально-економічного та культурного розвитку об’єднаної  громади;</w:t>
      </w:r>
    </w:p>
    <w:p w:rsidR="00557A16" w:rsidRPr="00575ECE" w:rsidRDefault="00557A16" w:rsidP="00557A16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- забезпечити своєчасне надходження </w:t>
      </w:r>
      <w:proofErr w:type="gramStart"/>
      <w:r w:rsidRPr="00575ECE">
        <w:rPr>
          <w:color w:val="333333"/>
        </w:rPr>
        <w:t>до</w:t>
      </w:r>
      <w:proofErr w:type="gramEnd"/>
      <w:r w:rsidRPr="00575ECE">
        <w:rPr>
          <w:color w:val="333333"/>
        </w:rPr>
        <w:t xml:space="preserve"> сільського бюджету місцевих податків та зборів;</w:t>
      </w:r>
    </w:p>
    <w:p w:rsidR="00557A16" w:rsidRPr="00575ECE" w:rsidRDefault="00557A16" w:rsidP="00557A16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lastRenderedPageBreak/>
        <w:t xml:space="preserve">- забезпечити відкритість процедури, прозорість дій органу </w:t>
      </w:r>
      <w:proofErr w:type="gramStart"/>
      <w:r w:rsidRPr="00575ECE">
        <w:rPr>
          <w:color w:val="333333"/>
        </w:rPr>
        <w:t>м</w:t>
      </w:r>
      <w:proofErr w:type="gramEnd"/>
      <w:r w:rsidRPr="00575ECE">
        <w:rPr>
          <w:color w:val="333333"/>
        </w:rPr>
        <w:t>ісцевого самоврядування;</w:t>
      </w:r>
    </w:p>
    <w:p w:rsidR="00557A16" w:rsidRPr="00575ECE" w:rsidRDefault="00557A16" w:rsidP="00557A16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- привести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сільської ради у відповідність до норм та вимог Податкового кодексу України.</w:t>
      </w:r>
    </w:p>
    <w:p w:rsidR="00557A16" w:rsidRPr="00575ECE" w:rsidRDefault="00557A16" w:rsidP="00575ECE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ІІІ.  Визначення та оцінка способів досягнення визначених цілей</w:t>
      </w:r>
    </w:p>
    <w:p w:rsidR="009C5D4C" w:rsidRPr="00575ECE" w:rsidRDefault="009C5D4C" w:rsidP="009C5D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Визначення альтернативних способі</w:t>
      </w:r>
      <w:proofErr w:type="gramStart"/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End"/>
    </w:p>
    <w:tbl>
      <w:tblPr>
        <w:tblW w:w="95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9"/>
        <w:gridCol w:w="14"/>
        <w:gridCol w:w="4773"/>
      </w:tblGrid>
      <w:tr w:rsidR="009C5D4C" w:rsidRPr="00575ECE" w:rsidTr="009C5D4C">
        <w:trPr>
          <w:trHeight w:val="341"/>
        </w:trPr>
        <w:tc>
          <w:tcPr>
            <w:tcW w:w="472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4787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 альтернативи</w:t>
            </w:r>
          </w:p>
        </w:tc>
      </w:tr>
      <w:tr w:rsidR="009C5D4C" w:rsidRPr="00575ECE" w:rsidTr="009C5D4C">
        <w:trPr>
          <w:trHeight w:val="1439"/>
        </w:trPr>
        <w:tc>
          <w:tcPr>
            <w:tcW w:w="472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Альтернатива 1.</w:t>
            </w:r>
          </w:p>
          <w:p w:rsidR="00D42FE7" w:rsidRPr="00575ECE" w:rsidRDefault="009C5D4C" w:rsidP="009C5D4C">
            <w:pPr>
              <w:spacing w:after="15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виносити на розгляд сесії сільської ради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приймати  рішення сільської ради ради 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D42FE7" w:rsidRPr="00575ECE">
              <w:rPr>
                <w:rFonts w:ascii="Times New Roman" w:hAnsi="Times New Roman" w:cs="Times New Roman"/>
                <w:b/>
                <w:sz w:val="24"/>
                <w:szCs w:val="24"/>
              </w:rPr>
              <w:t>Про затвердження Положень та ставок місцевих податків і зборів на території</w:t>
            </w:r>
            <w:r w:rsidR="00D42FE7" w:rsidRPr="00575EC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D42FE7" w:rsidRPr="00575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Прибужанівської  </w:t>
            </w:r>
          </w:p>
          <w:p w:rsidR="009C5D4C" w:rsidRPr="00575ECE" w:rsidRDefault="00D42FE7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hAnsi="Times New Roman" w:cs="Times New Roman"/>
                <w:b/>
                <w:sz w:val="24"/>
                <w:szCs w:val="24"/>
              </w:rPr>
              <w:t>сільської ради на 2019</w:t>
            </w:r>
            <w:r w:rsidR="009C5D4C"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C5D4C"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9C5D4C"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ік»</w:t>
            </w:r>
          </w:p>
        </w:tc>
        <w:tc>
          <w:tcPr>
            <w:tcW w:w="4787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Така альтернатива не є прийнятною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так, як відповідно до підпункту 12.3.5 пункту 12.3 статті 12 Податкового кодексу України місцеві податки і збори сплачуються платниками у порядку, встановленому Податковим кодексом за мінімальними ставками, що суттєво погіршить надходження до місцевого бюджету.</w:t>
            </w:r>
          </w:p>
        </w:tc>
      </w:tr>
      <w:tr w:rsidR="009C5D4C" w:rsidRPr="00575ECE" w:rsidTr="009C5D4C">
        <w:trPr>
          <w:trHeight w:val="1780"/>
        </w:trPr>
        <w:tc>
          <w:tcPr>
            <w:tcW w:w="472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Альтернатива 2.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Прийняти 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 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D42FE7" w:rsidRPr="00575ECE">
              <w:rPr>
                <w:rFonts w:ascii="Times New Roman" w:hAnsi="Times New Roman" w:cs="Times New Roman"/>
                <w:sz w:val="24"/>
                <w:szCs w:val="24"/>
              </w:rPr>
              <w:t>Про затвердження Положень та ставок місцевих податків і зборів на території Прибужанівської  сільської ради на 2019</w:t>
            </w:r>
            <w:r w:rsidR="00D42FE7" w:rsidRPr="00575E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 запропонованому вигляді</w:t>
            </w:r>
          </w:p>
        </w:tc>
        <w:tc>
          <w:tcPr>
            <w:tcW w:w="4787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Прийняття даного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 забезпечує досягнення цілей державного регулювання , чітких та прозорих механізмів справляння та сплати місцевих податків і зборів на території населених пунктів сільської ради та наповнення місцевого бюджету.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Забезпечить фінансову основу самостійності органу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ісцевого самоврядування.</w:t>
            </w:r>
          </w:p>
        </w:tc>
      </w:tr>
      <w:tr w:rsidR="009C5D4C" w:rsidRPr="00575ECE" w:rsidTr="009C5D4C">
        <w:trPr>
          <w:trHeight w:val="227"/>
        </w:trPr>
        <w:tc>
          <w:tcPr>
            <w:tcW w:w="4743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Альтернатива 3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Встановлення максимальних ставок місцевих податків і зборів на 2019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</w:tc>
        <w:tc>
          <w:tcPr>
            <w:tcW w:w="477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8150C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рахунок прийняття максимальних ставок буде значне перевиконання дохідної частини місцевого бюджету, але така альтернатива є непосильною для платників податків і зборів </w:t>
            </w:r>
            <w:r w:rsidR="008150CB"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Прибужанівської сільської ради</w:t>
            </w:r>
            <w:proofErr w:type="gramStart"/>
            <w:r w:rsid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proofErr w:type="gramEnd"/>
            <w:r w:rsid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зв’язку з надмірним податковим навантаженням буде виникати заборгованість зі сплати податків та зборів, а це призведе до нарахування пені, штрафних санкцій за несвоєчасну сплату, соціальної напруги серед населення.</w:t>
            </w:r>
          </w:p>
        </w:tc>
      </w:tr>
    </w:tbl>
    <w:p w:rsidR="009C5D4C" w:rsidRPr="00575ECE" w:rsidRDefault="009C5D4C" w:rsidP="009C5D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Оцінка вибраних альтернативних способів досягнення цілей</w:t>
      </w:r>
    </w:p>
    <w:p w:rsidR="009C5D4C" w:rsidRPr="00575ECE" w:rsidRDefault="009C5D4C" w:rsidP="009C5D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Оцінка впливу на сферу інтересів органів </w:t>
      </w:r>
      <w:proofErr w:type="gramStart"/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</w:t>
      </w:r>
      <w:proofErr w:type="gramEnd"/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ісцевого самоврядування</w:t>
      </w:r>
    </w:p>
    <w:tbl>
      <w:tblPr>
        <w:tblW w:w="99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8"/>
        <w:gridCol w:w="3993"/>
        <w:gridCol w:w="3340"/>
      </w:tblGrid>
      <w:tr w:rsidR="009C5D4C" w:rsidRPr="00575ECE" w:rsidTr="009C5D4C">
        <w:trPr>
          <w:trHeight w:val="429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Вигоди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Витрати</w:t>
            </w:r>
          </w:p>
        </w:tc>
      </w:tr>
      <w:tr w:rsidR="009C5D4C" w:rsidRPr="00575ECE" w:rsidTr="009C5D4C">
        <w:trPr>
          <w:trHeight w:val="429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</w:p>
        </w:tc>
      </w:tr>
      <w:tr w:rsidR="009C5D4C" w:rsidRPr="00575ECE" w:rsidTr="009C5D4C">
        <w:trPr>
          <w:trHeight w:val="4486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Альтернатива 2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Забезпечить дотримання вимог Податкового кодексу України, реалізацію наданих органам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ісцевого самоврядування повноважень.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Забезпечить відповідні надходження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сільського бюджету від сплати місцевих податків і зборів.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3.Створить сприятливі фінансові можливості сільської влади для задоволення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іальних та інших потреб територіальної громади.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Вдосконалить відносини між сільської радою, органом фіскальної служби та суб’єктами господарювання пов’язаних зі справлянням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зборів.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ідготовкою регуляторного акту та проведення відстежень результативності даного регуляторного акта та процедур з його опублікування</w:t>
            </w:r>
          </w:p>
        </w:tc>
      </w:tr>
      <w:tr w:rsidR="009C5D4C" w:rsidRPr="00575ECE" w:rsidTr="009C5D4C">
        <w:trPr>
          <w:trHeight w:val="2529"/>
        </w:trPr>
        <w:tc>
          <w:tcPr>
            <w:tcW w:w="265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3</w:t>
            </w:r>
          </w:p>
        </w:tc>
        <w:tc>
          <w:tcPr>
            <w:tcW w:w="399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1.Максимальні надходження коштів до місцевого бюджету. 2.Спрямування надлишків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 - економічний розвиток</w:t>
            </w:r>
          </w:p>
        </w:tc>
        <w:tc>
          <w:tcPr>
            <w:tcW w:w="334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575EC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ідготовкою регуляторного акту та проведення відстежень результативності даного регуляторного акта та процедур з його опублікування</w:t>
            </w:r>
            <w:r w:rsid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Існування ризику переходу діяльності суб’єктів господарювання в «тінь» за причини сплати податків</w:t>
            </w:r>
          </w:p>
        </w:tc>
      </w:tr>
    </w:tbl>
    <w:p w:rsidR="009C5D4C" w:rsidRPr="00575ECE" w:rsidRDefault="009C5D4C" w:rsidP="000E4C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Оцінка впливу на сферу інтересів громадян</w:t>
      </w:r>
    </w:p>
    <w:tbl>
      <w:tblPr>
        <w:tblW w:w="98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3955"/>
        <w:gridCol w:w="3308"/>
      </w:tblGrid>
      <w:tr w:rsidR="009C5D4C" w:rsidRPr="00575ECE" w:rsidTr="009C5D4C">
        <w:trPr>
          <w:trHeight w:val="379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Вигоди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 Витрати</w:t>
            </w:r>
          </w:p>
        </w:tc>
      </w:tr>
      <w:tr w:rsidR="009C5D4C" w:rsidRPr="00575ECE" w:rsidTr="009C5D4C">
        <w:trPr>
          <w:trHeight w:val="606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Сплата податку за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інімальними ставками, передбаченими Податковим кодексом України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пов’язан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 лише зі сплатою земельного податку.</w:t>
            </w:r>
          </w:p>
        </w:tc>
      </w:tr>
      <w:tr w:rsidR="009C5D4C" w:rsidRPr="00575ECE" w:rsidTr="009C5D4C">
        <w:trPr>
          <w:trHeight w:val="2516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575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обґрунтованими ставками. Встановлення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ільг по сплаті податків для окремих категорій громадян.</w:t>
            </w:r>
            <w:r w:rsid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                                                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Відкритість процедури, прозорість дій місцевого самоврядування.</w:t>
            </w:r>
            <w:r w:rsid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Вдосконалить відносини між сільською радою, органом фіскальної служби та суб’єктами господарювання пов’язаних зі справлянням податків та зборів.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запропонованими ставками.</w:t>
            </w:r>
          </w:p>
        </w:tc>
      </w:tr>
      <w:tr w:rsidR="009C5D4C" w:rsidRPr="00575ECE" w:rsidTr="009C5D4C">
        <w:trPr>
          <w:trHeight w:val="1288"/>
        </w:trPr>
        <w:tc>
          <w:tcPr>
            <w:tcW w:w="263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955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 рахунок зростання надходжень до місцевого бюджету буде вирішено більша кількість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іальних проблем громади.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8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Надмірне податкове навантаження призведе до несвоєчасних сплат місцевих податків та зборів, а це в свою чергу до нарахування пені та штрафних санкцій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</w:tbl>
    <w:p w:rsidR="009C5D4C" w:rsidRPr="00575ECE" w:rsidRDefault="009C5D4C" w:rsidP="009C5D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Оцінка впливу на сферу інтересів суб’єктів господарювання </w:t>
      </w:r>
      <w:r w:rsidRPr="00575E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</w:t>
      </w:r>
    </w:p>
    <w:tbl>
      <w:tblPr>
        <w:tblW w:w="99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6"/>
        <w:gridCol w:w="262"/>
        <w:gridCol w:w="1018"/>
        <w:gridCol w:w="1310"/>
        <w:gridCol w:w="1642"/>
        <w:gridCol w:w="23"/>
        <w:gridCol w:w="1619"/>
        <w:gridCol w:w="1642"/>
        <w:gridCol w:w="79"/>
      </w:tblGrid>
      <w:tr w:rsidR="009C5D4C" w:rsidRPr="00575ECE" w:rsidTr="00575ECE">
        <w:trPr>
          <w:gridAfter w:val="1"/>
          <w:wAfter w:w="79" w:type="dxa"/>
          <w:trHeight w:val="554"/>
        </w:trPr>
        <w:tc>
          <w:tcPr>
            <w:tcW w:w="2396" w:type="dxa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Великі</w:t>
            </w:r>
          </w:p>
        </w:tc>
        <w:tc>
          <w:tcPr>
            <w:tcW w:w="1310" w:type="dxa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Середні</w:t>
            </w:r>
          </w:p>
        </w:tc>
        <w:tc>
          <w:tcPr>
            <w:tcW w:w="3284" w:type="dxa"/>
            <w:gridSpan w:val="3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Малі</w:t>
            </w:r>
          </w:p>
        </w:tc>
        <w:tc>
          <w:tcPr>
            <w:tcW w:w="1642" w:type="dxa"/>
            <w:vMerge w:val="restart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</w:tr>
      <w:tr w:rsidR="009C5D4C" w:rsidRPr="00575ECE" w:rsidTr="00575ECE">
        <w:trPr>
          <w:gridAfter w:val="1"/>
          <w:wAfter w:w="79" w:type="dxa"/>
          <w:trHeight w:val="148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9C5D4C" w:rsidRPr="00575ECE" w:rsidRDefault="009C5D4C" w:rsidP="009C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9C5D4C" w:rsidRPr="00575ECE" w:rsidRDefault="009C5D4C" w:rsidP="009C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9C5D4C" w:rsidRPr="00575ECE" w:rsidRDefault="009C5D4C" w:rsidP="009C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575ECE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</w:t>
            </w:r>
            <w:r w:rsidR="009C5D4C"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сього</w:t>
            </w:r>
          </w:p>
        </w:tc>
        <w:tc>
          <w:tcPr>
            <w:tcW w:w="1642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575ECE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</w:t>
            </w:r>
            <w:r w:rsidR="009C5D4C"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тому числі мікро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auto"/>
            <w:vAlign w:val="center"/>
            <w:hideMark/>
          </w:tcPr>
          <w:p w:rsidR="009C5D4C" w:rsidRPr="00575ECE" w:rsidRDefault="009C5D4C" w:rsidP="009C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D4C" w:rsidRPr="00575ECE" w:rsidTr="00575ECE">
        <w:trPr>
          <w:gridAfter w:val="1"/>
          <w:wAfter w:w="79" w:type="dxa"/>
          <w:trHeight w:val="1286"/>
        </w:trPr>
        <w:tc>
          <w:tcPr>
            <w:tcW w:w="2396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суб’єктів господарювання, що підпадають під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ію регулювання, одиниць*</w:t>
            </w:r>
          </w:p>
        </w:tc>
        <w:tc>
          <w:tcPr>
            <w:tcW w:w="1280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2D5F63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1642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2D5F63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2D5F63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</w:tr>
      <w:tr w:rsidR="009C5D4C" w:rsidRPr="00575ECE" w:rsidTr="00575ECE">
        <w:trPr>
          <w:gridAfter w:val="1"/>
          <w:wAfter w:w="79" w:type="dxa"/>
          <w:trHeight w:val="1010"/>
        </w:trPr>
        <w:tc>
          <w:tcPr>
            <w:tcW w:w="2396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Питома вага групи у загальній кількості, відсоткі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80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0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42" w:type="dxa"/>
            <w:gridSpan w:val="2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2D5F63" w:rsidP="002D5F6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15,31</w:t>
            </w:r>
            <w:r w:rsidR="009C5D4C"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2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9C5D4C" w:rsidRPr="00575ECE" w:rsidTr="00575ECE">
        <w:tblPrEx>
          <w:shd w:val="clear" w:color="auto" w:fill="FFFFFF"/>
        </w:tblPrEx>
        <w:trPr>
          <w:trHeight w:val="385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Вигоди</w:t>
            </w:r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 Витрати</w:t>
            </w:r>
          </w:p>
        </w:tc>
      </w:tr>
      <w:tr w:rsidR="009C5D4C" w:rsidRPr="00575ECE" w:rsidTr="00575ECE">
        <w:tblPrEx>
          <w:shd w:val="clear" w:color="auto" w:fill="FFFFFF"/>
        </w:tblPrEx>
        <w:trPr>
          <w:trHeight w:val="845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мінімальними ставками, передбаченими Податковим кодексом України</w:t>
            </w:r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пов’язан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 лише зі сплатою земельного податку.</w:t>
            </w:r>
          </w:p>
        </w:tc>
      </w:tr>
      <w:tr w:rsidR="009C5D4C" w:rsidRPr="00575ECE" w:rsidTr="00575ECE">
        <w:tblPrEx>
          <w:shd w:val="clear" w:color="auto" w:fill="FFFFFF"/>
        </w:tblPrEx>
        <w:trPr>
          <w:trHeight w:val="2935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обґрунтованими ставками.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Встановлення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ільг щодо сплати податків і зборів для окремих категорій громадян.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Відкритість та прозорість процедури нарахування та сплати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Вдосконалість відносин між сільською радою, органом фіскальної служби та субєктами господарювання, повязаних зі справлянням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Затрати часу, необхідні для вивчення положень про місцеві податки і збори та обговорення проекту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ішення. Сплата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запропонованими ставками.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9C5D4C" w:rsidRPr="00575ECE" w:rsidTr="00575ECE">
        <w:tblPrEx>
          <w:shd w:val="clear" w:color="auto" w:fill="FFFFFF"/>
        </w:tblPrEx>
        <w:trPr>
          <w:trHeight w:val="1306"/>
        </w:trPr>
        <w:tc>
          <w:tcPr>
            <w:tcW w:w="265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993" w:type="dxa"/>
            <w:gridSpan w:val="4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Відсутні</w:t>
            </w:r>
          </w:p>
        </w:tc>
        <w:tc>
          <w:tcPr>
            <w:tcW w:w="3340" w:type="dxa"/>
            <w:gridSpan w:val="3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Надмірне податкове навантаження,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яке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може спричинити занепад малого бізнесу, який провадить діяльність на території ради, зменшення кількості робочих місць</w:t>
            </w:r>
            <w:r w:rsid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D42FE7" w:rsidRPr="00575ECE" w:rsidRDefault="009C5D4C" w:rsidP="00575ECE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  </w:t>
      </w:r>
      <w:r w:rsid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У</w:t>
      </w: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зв’язку з відсутністю суб'єктів господарювання великого і середнього підприємництва, що підпадають під дію регуляторного акту, витрати на одного суб’єкта господарювання великого і середнього підприємництва, які виникають внаслідок дії регуляторного акта згідно Додатка 2 до Методики проведення аналізу впливу регуляторного акта не розраховувалися.</w:t>
      </w:r>
      <w:r w:rsid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</w:p>
    <w:p w:rsidR="009C5D4C" w:rsidRPr="00575ECE" w:rsidRDefault="009C5D4C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  </w:t>
      </w: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ІV.  Вибі</w:t>
      </w:r>
      <w:proofErr w:type="gramStart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</w:t>
      </w:r>
      <w:proofErr w:type="gramEnd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найбільш оптимального альтернативного способу досягнення цілей</w:t>
      </w:r>
    </w:p>
    <w:tbl>
      <w:tblPr>
        <w:tblW w:w="967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6"/>
        <w:gridCol w:w="799"/>
        <w:gridCol w:w="1617"/>
        <w:gridCol w:w="1384"/>
        <w:gridCol w:w="1032"/>
        <w:gridCol w:w="2197"/>
        <w:gridCol w:w="234"/>
      </w:tblGrid>
      <w:tr w:rsidR="009C5D4C" w:rsidRPr="00575ECE" w:rsidTr="00E2479E">
        <w:trPr>
          <w:gridAfter w:val="1"/>
          <w:wAfter w:w="234" w:type="dxa"/>
          <w:trHeight w:val="852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Рейтинг результативності (досягнення цілей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ід час вирішення проблеми)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Бал результативності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 чотирибальною системою оцінки)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Коментарі щодо присвоєння відповідного бала</w:t>
            </w:r>
          </w:p>
        </w:tc>
      </w:tr>
      <w:tr w:rsidR="009C5D4C" w:rsidRPr="00575ECE" w:rsidTr="00E2479E">
        <w:trPr>
          <w:gridAfter w:val="1"/>
          <w:wAfter w:w="234" w:type="dxa"/>
          <w:trHeight w:val="3377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1 - цілі прийняття регуляторного акта не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(проблема продовжує існувати)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575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Така альтернатива є не прийнятною. Місцеві податки та збори будуть сплачуватися платниками відповідно до Податкового кодексу України за мінімальними ставками, громадяни втратять додаткові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ільги. Зменшаться надходження до сільського бюджету, а це не дозволить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інансувати заходи соціального, економічного значення об’єднаної територіальної громади (благоустрій, утримання комунальних</w:t>
            </w:r>
            <w:r w:rsid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закладів та інше)</w:t>
            </w:r>
          </w:p>
        </w:tc>
      </w:tr>
      <w:tr w:rsidR="009C5D4C" w:rsidRPr="00575ECE" w:rsidTr="00E2479E">
        <w:trPr>
          <w:gridAfter w:val="1"/>
          <w:wAfter w:w="234" w:type="dxa"/>
          <w:trHeight w:val="1151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3 - цілі прийняття проекту регуляторного акта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майже повною мірою (усі важливі аспекти проблеми існувати не будуть)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E2479E" w:rsidRDefault="00575ECE" w:rsidP="00575EC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Прийняття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ць</w:t>
            </w:r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ого </w:t>
            </w:r>
            <w:proofErr w:type="gramStart"/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ішення вирішить важливі аспекти проблеми, забезпечить досягнення встановлених цілей, чітких та прозорих механізмів справляння місцевих податків і зборів, наповнення сільського бюджету, виконання програми соціально-економічного розвитку громади.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                                        </w:t>
            </w:r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Таким чином, прийняттям вказаного </w:t>
            </w:r>
            <w:proofErr w:type="gramStart"/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ішення буде </w:t>
            </w:r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досягнуто балансу інтересів громади і платників податків і зборів</w:t>
            </w:r>
            <w:r w:rsid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9C5D4C" w:rsidRPr="00E2479E" w:rsidTr="00E2479E">
        <w:trPr>
          <w:gridAfter w:val="1"/>
          <w:wAfter w:w="234" w:type="dxa"/>
          <w:trHeight w:val="3609"/>
        </w:trPr>
        <w:tc>
          <w:tcPr>
            <w:tcW w:w="3215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00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2 - цілі прийняття регуляторного акта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частково (проблема значно зменшиться, деякі важливі та критичні аспекти проблеми залишаться невирішеними)</w:t>
            </w:r>
          </w:p>
        </w:tc>
        <w:tc>
          <w:tcPr>
            <w:tcW w:w="322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E2479E" w:rsidRDefault="009C5D4C" w:rsidP="00E2479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Цілі регулювання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досягнуті частково.</w:t>
            </w:r>
            <w:r w:rsid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  <w:r w:rsidRP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Надмірне податкове навантаження на суб'єктів господарювання знівелює вигоди від значного збільшення дохідної ч</w:t>
            </w:r>
            <w:r w:rsidR="00E2479E" w:rsidRP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астини місцевого бюджету</w:t>
            </w:r>
            <w:r w:rsid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:</w:t>
            </w:r>
            <w:r w:rsidRP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існує ризик переходу суб’єктів господарювання в «тінь», зменшення кількості робочих місць та розміру заробітної плати, і як наслідок</w:t>
            </w:r>
            <w:r w:rsid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, виникне зворотній ефект, у</w:t>
            </w:r>
            <w:r w:rsidRP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результаті якого відбудеться зменшення надходжень до сільського бюджету. Балансу інтересів досягнуто не буде.</w:t>
            </w:r>
          </w:p>
        </w:tc>
      </w:tr>
      <w:tr w:rsidR="009C5D4C" w:rsidRPr="00575ECE" w:rsidTr="00E2479E">
        <w:trPr>
          <w:trHeight w:val="865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Рейтинг результативності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Вигоди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ідсумок)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Витрати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(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ідсумок)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Обґрунтування відповідного місця альтернативи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рейтингу</w:t>
            </w:r>
          </w:p>
        </w:tc>
      </w:tr>
      <w:tr w:rsidR="009C5D4C" w:rsidRPr="00575ECE" w:rsidTr="00E2479E">
        <w:trPr>
          <w:trHeight w:val="3042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E2479E" w:rsidRDefault="00E2479E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Альтернатива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Надходження додаткових коштів до місцевого бюджету, спрямування коштів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іально-економічний розвиток територіальної громади.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обгрунтованими ставками.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Встановлення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ільг для окремих категорій населення.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ідготовкою регуляторного акта та процедур з його офіційного опублікування. Сплата податків і зборі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встановленими ставками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Регуляторний акт відповідає потребам у розв’язанні визначеної проблеми та принципам державної регуляторної політики. Наповнення сільського бюджету, збереження суб’єктів господарювання та робочих місць</w:t>
            </w:r>
          </w:p>
        </w:tc>
      </w:tr>
      <w:tr w:rsidR="009C5D4C" w:rsidRPr="00575ECE" w:rsidTr="00E2479E">
        <w:trPr>
          <w:trHeight w:val="1809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E2479E" w:rsidRDefault="00E2479E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Альтернатива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Максимальні надходження кошті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 місцевого бюджету. Спрямування надлишків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іально-економічний розвиток територіальної громади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 пов’язані з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ідготовкою регуляторного акта та його офіційного оприлюднення. Надмірне податкове навантаження спричинить занепад малого бізнесу.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Надмірне податкове навантаження, призведе до ризику переходу суб’єктів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ідприємницької діяльності в «тінь», як наслідок зменшення робочих місць та розміру заробітної плати.</w:t>
            </w:r>
          </w:p>
        </w:tc>
      </w:tr>
      <w:tr w:rsidR="009C5D4C" w:rsidRPr="00575ECE" w:rsidTr="00E2479E">
        <w:trPr>
          <w:trHeight w:val="1489"/>
        </w:trPr>
        <w:tc>
          <w:tcPr>
            <w:tcW w:w="2416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E2479E" w:rsidRDefault="00E2479E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Альтернатива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Сплата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 мінімальними ставками, передбаченими Податковим кодексом України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пов’язан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 лише зі сплатою земельного податку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Зменшення надходжень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сільського бюджету.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ідвищення соціальної напруги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9C5D4C" w:rsidRPr="00575ECE" w:rsidRDefault="009C5D4C" w:rsidP="009C5D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Переваги обраної альтернативи</w:t>
      </w:r>
    </w:p>
    <w:tbl>
      <w:tblPr>
        <w:tblW w:w="95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8"/>
        <w:gridCol w:w="3939"/>
        <w:gridCol w:w="3198"/>
      </w:tblGrid>
      <w:tr w:rsidR="009C5D4C" w:rsidRPr="00575ECE" w:rsidTr="009C5D4C">
        <w:trPr>
          <w:trHeight w:val="1007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Оцінка ризику зовнішніх чинникі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дію запропонованого регуляторного акта</w:t>
            </w:r>
          </w:p>
        </w:tc>
      </w:tr>
      <w:tr w:rsidR="009C5D4C" w:rsidRPr="00575ECE" w:rsidTr="009C5D4C">
        <w:trPr>
          <w:trHeight w:val="2940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ілі прийняття проекту рішення про встановлення місцевих податків і зборів на 2019 рік будуть досягнуті майже у повній мірі. До сільського бюджету надійдуть додаткові кошти від сплати місцевих податків і зборів, а податкове навантаження для платників не буде надмірним. Таким чином, прийняттям вказаного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 буде досягнуто балансу інтересів сільської ради і платників податків і зборів.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Зміни до чинного законодавства: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Податкового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інші закони (зміна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інімальної заробітної плати, прожиткового мінімуму, тощо).</w:t>
            </w:r>
          </w:p>
        </w:tc>
      </w:tr>
      <w:tr w:rsidR="009C5D4C" w:rsidRPr="00575ECE" w:rsidTr="009C5D4C">
        <w:trPr>
          <w:trHeight w:val="3698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Цілі регулювання можуть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досягнуті частково. Надмірне податкове навантаження на суб'єктів господарювання знівелює вигоди від значного збільшення дохідної частини місцевого бюджету. Балансу інтересів досягнути неможливо.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Зміни до чинного законодавства: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Податкового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інші закони (зміна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інімальної заробітної плати, прожиткового мінімуму, тощо).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Виникнення податкового боргу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причині не сплати місцевих податків та зборів.</w:t>
            </w:r>
          </w:p>
        </w:tc>
      </w:tr>
      <w:tr w:rsidR="009C5D4C" w:rsidRPr="00575ECE" w:rsidTr="009C5D4C">
        <w:trPr>
          <w:trHeight w:val="2724"/>
        </w:trPr>
        <w:tc>
          <w:tcPr>
            <w:tcW w:w="2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939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неприйняття регуляторного акта, податок справлятиметься по мінімальним ставкам, що спричинить втрати доходної частини бюджету і відповідно не виконання бюджетних програм.  Вказана альтернатива є неприйнятною.</w:t>
            </w:r>
          </w:p>
        </w:tc>
        <w:tc>
          <w:tcPr>
            <w:tcW w:w="31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Зміни до чинного законодавства: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Податкового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кодексу України;</w:t>
            </w:r>
          </w:p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інші закони (зміна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інімальної заробітної плати, прожиткового мінімуму, тощо).</w:t>
            </w:r>
          </w:p>
        </w:tc>
      </w:tr>
    </w:tbl>
    <w:p w:rsidR="009C5D4C" w:rsidRPr="00575ECE" w:rsidRDefault="009C5D4C" w:rsidP="00874B67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  Таким чином</w:t>
      </w:r>
      <w:r w:rsidR="00E247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</w:t>
      </w: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для реалізації обрано Альтернативу 2 – встановлення економічн</w:t>
      </w:r>
      <w:proofErr w:type="gramStart"/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о-</w:t>
      </w:r>
      <w:proofErr w:type="gramEnd"/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обґрунтованих місцевих податків та зборів,  що є посильними для платників податків, та забезпечить фінансову основу самостійності органу </w:t>
      </w:r>
      <w:r w:rsidR="00E247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місцевого самоврядування</w:t>
      </w:r>
      <w:r w:rsidR="00E247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Прибужан</w:t>
      </w:r>
      <w:r w:rsidRPr="00575E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івської сільської ради.</w:t>
      </w:r>
    </w:p>
    <w:p w:rsidR="00EC6204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>       </w:t>
      </w:r>
      <w:r w:rsidRPr="00575ECE">
        <w:rPr>
          <w:b/>
          <w:bCs/>
          <w:color w:val="333333"/>
        </w:rPr>
        <w:t>V. Механізм, який пропонується застосувати для розв’язання проблеми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Зазначену проблему планується розв'язати шляхом: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Розробки проекту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</w:t>
      </w:r>
      <w:r w:rsidR="00EC6204" w:rsidRPr="00575ECE">
        <w:rPr>
          <w:color w:val="333333"/>
          <w:lang w:val="uk-UA"/>
        </w:rPr>
        <w:t xml:space="preserve">Прибужанівської </w:t>
      </w:r>
      <w:r w:rsidRPr="00575ECE">
        <w:rPr>
          <w:color w:val="333333"/>
        </w:rPr>
        <w:t>сільської ради </w:t>
      </w:r>
      <w:r w:rsidRPr="00575ECE">
        <w:rPr>
          <w:color w:val="333333"/>
          <w:u w:val="single"/>
        </w:rPr>
        <w:t>«Про встановлення місцевих податків і зборів на 2019 рік»</w:t>
      </w:r>
      <w:r w:rsidRPr="00575ECE">
        <w:rPr>
          <w:color w:val="333333"/>
        </w:rPr>
        <w:t> та АРВ до нього;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- Проведення консультацій з суб’єктами господарювання;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Оприлюднення проекту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з АРВ та отримання пропозицій та зауважень;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ідготовка експертного висновку постійної відповідальної комісії, щодо відповідності проекту рішення вимогам ст..4,8 Закону України «Про засади державної регуляторної політики у сфері господарської діяльності»;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- Отримання пропозицій по удосконаленню від</w:t>
      </w:r>
      <w:proofErr w:type="gramStart"/>
      <w:r w:rsidRPr="00575ECE">
        <w:rPr>
          <w:color w:val="333333"/>
        </w:rPr>
        <w:t xml:space="preserve"> Д</w:t>
      </w:r>
      <w:proofErr w:type="gramEnd"/>
      <w:r w:rsidRPr="00575ECE">
        <w:rPr>
          <w:color w:val="333333"/>
        </w:rPr>
        <w:t>ержавної регуляторної служби України;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lastRenderedPageBreak/>
        <w:t xml:space="preserve">            - 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«Про встановлення місцевих податків та зборів на 2019 рік» на пленарному засіданні сесії сільської ради;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Оприлюднення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у встановленому законодавством порядку;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Проведення заходів з відстеження результативності прийнятого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Встановлення запропонованих місцевих податків і зборів на 2019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ік є основним механізмом, яке забезпечить розв’язання визначеної проблеми.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  <w:r w:rsidRPr="00575ECE">
        <w:rPr>
          <w:b/>
          <w:bCs/>
          <w:color w:val="333333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впроваджувати або виконувати ці вимоги</w:t>
      </w:r>
    </w:p>
    <w:p w:rsidR="009C5D4C" w:rsidRPr="00E2479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      </w:t>
      </w:r>
      <w:proofErr w:type="gramStart"/>
      <w:r w:rsidRPr="00575ECE">
        <w:rPr>
          <w:color w:val="333333"/>
        </w:rPr>
        <w:t>Адм</w:t>
      </w:r>
      <w:proofErr w:type="gramEnd"/>
      <w:r w:rsidRPr="00575ECE">
        <w:rPr>
          <w:color w:val="333333"/>
        </w:rPr>
        <w:t>іністрування даного регуляторного акта встановлено норма</w:t>
      </w:r>
      <w:r w:rsidR="00E2479E">
        <w:rPr>
          <w:color w:val="333333"/>
        </w:rPr>
        <w:t>ми Податкового кодексу України.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Розрахунок витрат на запровадження державного регулювання для суб’єктів малого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ідприємництва (М-тест) наведено у додатку 4.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Розрахунок витрат на виконання вимог регуляторного акта згідно з додатком 3 до Методики проведення аналізу впливу регуляторного акта не проводився через відсутність суб’єктів господарювання великого та середнього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ідприємництва.</w:t>
      </w:r>
    </w:p>
    <w:p w:rsidR="00EC6204" w:rsidRPr="00575ECE" w:rsidRDefault="009C5D4C" w:rsidP="00970A5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      Органи місцевого самоврядування наділені повноваженнями лише встановлювати ставки місцевих податків та зборів, не змінюючи порядок їх обчислення сплати та інші </w:t>
      </w:r>
      <w:proofErr w:type="gramStart"/>
      <w:r w:rsidRPr="00575ECE">
        <w:rPr>
          <w:color w:val="333333"/>
        </w:rPr>
        <w:t>адм</w:t>
      </w:r>
      <w:proofErr w:type="gramEnd"/>
      <w:r w:rsidRPr="00575ECE">
        <w:rPr>
          <w:color w:val="333333"/>
        </w:rPr>
        <w:t>іністративні процедури.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b/>
          <w:bCs/>
          <w:color w:val="333333"/>
        </w:rPr>
        <w:t>VII. Обґрунтування запропонованого строку дії регуляторного акта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Запропонований термін дії регуляторного акта один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ік. В разі внесення змін до чинного законодавства України в частині справляння місцевих податків та зборів, відповідні зміни будуть внесені до даного регуляторного акту.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У разі, якщо сільська рада до першого липня не прийняла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про встановлення місцевих податків і зборів на наступний рік, що є обов’язковим згідно з нормами Податкового кодексу України, такі податки до прийняття рішення справляються виходячи з норм Податкового кодексу України із застосуванням їх мінімальних ставок, а плата за землю справляється із застосуванням ставок</w:t>
      </w:r>
      <w:proofErr w:type="gramStart"/>
      <w:r w:rsidRPr="00575ECE">
        <w:rPr>
          <w:color w:val="333333"/>
        </w:rPr>
        <w:t>,я</w:t>
      </w:r>
      <w:proofErr w:type="gramEnd"/>
      <w:r w:rsidRPr="00575ECE">
        <w:rPr>
          <w:color w:val="333333"/>
        </w:rPr>
        <w:t>кі діяли до 31 грудня року, що передує бюджетному періоду, в якому планується застосування плати за землю. Враховуючи норми Бюджетного та Податкового кодексів України, органи місцевого самоврядування мають щорічно встановлювати ставки місцевих податків і зборів, що справляються в установленому Податковим кодексом України порядку. Відповідні ставки будуть діяти лише протягом року, на який прийняті.</w:t>
      </w:r>
    </w:p>
    <w:p w:rsidR="009C5D4C" w:rsidRPr="00575ECE" w:rsidRDefault="009C5D4C" w:rsidP="00E2479E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575ECE">
        <w:rPr>
          <w:color w:val="333333"/>
        </w:rPr>
        <w:t> </w:t>
      </w:r>
      <w:r w:rsidRPr="00575ECE">
        <w:rPr>
          <w:b/>
          <w:color w:val="333333"/>
        </w:rPr>
        <w:t>VIII.  Визначення показників результативності дії регуляторного акта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Виходячи з цілей державного регулювання, визначених у другому розділі АРВ, для відстеження результативності регуляторного акта слід визначити не менше ніж три кількісних показника, які безпосередньо характеризують результативність дії регуляторного акта та які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 xml:space="preserve">ідлягають контролю (відстеження результативності). Для відстеження результативності дії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основними є такі показники: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сума надходжень до місцевого бюджету від сплати місцевих податків (податок на майно, єдиний податок з фізичних осіб –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ідприємців 1,2 групи) тис.грн.;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кількість суб’єктів господарської діяльності – платників місцевих податків (податок на майно, єдиний податок з фізичних осіб –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ідприємців 1,2 групи) на яких поширюватиметься дія акта, осіб;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-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івень поінформованості суб’єктів господарювання та/або фізичних осіб з основних положень акта.</w:t>
      </w:r>
    </w:p>
    <w:p w:rsidR="009C5D4C" w:rsidRPr="00575ECE" w:rsidRDefault="009C5D4C">
      <w:pPr>
        <w:rPr>
          <w:rFonts w:ascii="Times New Roman" w:hAnsi="Times New Roman" w:cs="Times New Roman"/>
          <w:sz w:val="24"/>
          <w:szCs w:val="24"/>
        </w:rPr>
      </w:pPr>
    </w:p>
    <w:p w:rsidR="009C5D4C" w:rsidRPr="00575ECE" w:rsidRDefault="009C5D4C" w:rsidP="009C5D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5E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Статистичні показники:</w:t>
      </w:r>
    </w:p>
    <w:tbl>
      <w:tblPr>
        <w:tblW w:w="976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1"/>
        <w:gridCol w:w="1668"/>
        <w:gridCol w:w="1487"/>
        <w:gridCol w:w="2299"/>
      </w:tblGrid>
      <w:tr w:rsidR="009C5D4C" w:rsidRPr="00575ECE" w:rsidTr="009C5D4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показника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(очікувані)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</w:p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(очікувані у </w:t>
            </w:r>
            <w:r w:rsidR="00E247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в’язку з прийняттям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ішення)</w:t>
            </w:r>
          </w:p>
        </w:tc>
      </w:tr>
      <w:tr w:rsidR="009C5D4C" w:rsidRPr="00575ECE" w:rsidTr="009C5D4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надходжень до місцевого бюджету від сплати місцевих податків ( податок на майно, єдиний податок з фізичних </w:t>
            </w:r>
            <w:r w:rsidR="00E24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осіб – підприємців) (тис.грн.) </w:t>
            </w:r>
            <w:r w:rsidR="00E247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тому числі: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5974,0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7296,3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7596,3</w:t>
            </w:r>
          </w:p>
        </w:tc>
      </w:tr>
      <w:tr w:rsidR="009C5D4C" w:rsidRPr="00575ECE" w:rsidTr="009C5D4C">
        <w:trPr>
          <w:trHeight w:val="630"/>
        </w:trPr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 на нерухоме майно, відмінне від земельної ділянки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4,3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4,3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4,3</w:t>
            </w:r>
          </w:p>
        </w:tc>
      </w:tr>
      <w:tr w:rsidR="009C5D4C" w:rsidRPr="00575ECE" w:rsidTr="009C5D4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землю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3657,5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4575,0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4755,0</w:t>
            </w:r>
          </w:p>
        </w:tc>
      </w:tr>
      <w:tr w:rsidR="009C5D4C" w:rsidRPr="00575ECE" w:rsidTr="009C5D4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Єдиний податок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2272,5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2717,0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2817,0</w:t>
            </w:r>
          </w:p>
        </w:tc>
      </w:tr>
      <w:tr w:rsidR="009C5D4C" w:rsidRPr="00575ECE" w:rsidTr="009C5D4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Кількість суб’єктів господарської діяльності – платників місцевих податків (податок на майно, єдиний податок з фізичних осіб –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ідприємців), осіб</w:t>
            </w:r>
          </w:p>
        </w:tc>
        <w:tc>
          <w:tcPr>
            <w:tcW w:w="16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14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22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E04299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</w:tr>
      <w:tr w:rsidR="009C5D4C" w:rsidRPr="00575ECE" w:rsidTr="009C5D4C">
        <w:tc>
          <w:tcPr>
            <w:tcW w:w="43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5454" w:type="dxa"/>
            <w:gridSpan w:val="3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Відповідно до частини 5 статті 12 Закону України «Про засади державної регуляторної політики у сфері господарської діяльності» регуляторні акти, прийняті органами та посадовими особами місцевого самоврядування, офіційно оприлюднюються у разі відсутності друкованих засобів масової інформації відповідних рад у місцевих друкованих засобах масової інформації. Таким чином,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івень поінформованості суб’єктів господарювання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ізичних осіб з основних положень рішення визначається чисельністю осіб, які ознайомляться з ним.</w:t>
            </w:r>
          </w:p>
          <w:p w:rsidR="009C5D4C" w:rsidRPr="00575ECE" w:rsidRDefault="009C5D4C" w:rsidP="00874B6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даний регуляторний акт буде розміщено на офіційній веб-сторінці виконкому </w:t>
            </w:r>
            <w:r w:rsidR="00874B67"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Прибужанівської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 ради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дошці оголошень сільської ради та в засобах масової інформації.</w:t>
            </w:r>
          </w:p>
        </w:tc>
      </w:tr>
    </w:tbl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E2479E" w:rsidRDefault="00E2479E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E2479E" w:rsidRDefault="00E2479E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b/>
          <w:bCs/>
          <w:color w:val="333333"/>
        </w:rPr>
        <w:lastRenderedPageBreak/>
        <w:t>IX. Визначення заході</w:t>
      </w:r>
      <w:proofErr w:type="gramStart"/>
      <w:r w:rsidRPr="00575ECE">
        <w:rPr>
          <w:b/>
          <w:bCs/>
          <w:color w:val="333333"/>
        </w:rPr>
        <w:t>в</w:t>
      </w:r>
      <w:proofErr w:type="gramEnd"/>
      <w:r w:rsidRPr="00575ECE">
        <w:rPr>
          <w:b/>
          <w:bCs/>
          <w:color w:val="333333"/>
        </w:rPr>
        <w:t>, за допомогою яких здійснюватиметься відстеження результативності дії регуляторного акта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Оцінка ефективності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буде здійснена за допомогою проведення базового, повторного відстеження результативності регуляторного акту.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Відстеження результативності регуляторного акта буде проводитись статистичним методом.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      Базове відстеження результативності регуляторного акта буде здійснюватися до дня набрання чинності цим регуляторним актом.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Повторне відстеження результативності регуляторного акта буде здійснюватися через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ік після набрання чинності регуляторним актом.</w:t>
      </w:r>
    </w:p>
    <w:p w:rsidR="009C5D4C" w:rsidRPr="00575ECE" w:rsidRDefault="009C5D4C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      У </w:t>
      </w:r>
      <w:proofErr w:type="gramStart"/>
      <w:r w:rsidRPr="00575ECE">
        <w:rPr>
          <w:color w:val="333333"/>
        </w:rPr>
        <w:t>рамках</w:t>
      </w:r>
      <w:proofErr w:type="gramEnd"/>
      <w:r w:rsidRPr="00575ECE">
        <w:rPr>
          <w:color w:val="333333"/>
        </w:rPr>
        <w:t xml:space="preserve"> статистичного методу відстеження аналіз офіційної статистичної інформації буде проводитися щодо розміру надходжень до сільського бюджету та кількості осіб, на яких поширюватиметься дія акта.</w:t>
      </w:r>
    </w:p>
    <w:p w:rsidR="00874B67" w:rsidRPr="00575ECE" w:rsidRDefault="00874B67" w:rsidP="00874B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9C5D4C" w:rsidRPr="00575ECE" w:rsidRDefault="00E2479E" w:rsidP="009C5D4C">
      <w:pPr>
        <w:pStyle w:val="a3"/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ab/>
      </w:r>
      <w:r w:rsidR="00874B67" w:rsidRPr="00575ECE">
        <w:rPr>
          <w:color w:val="333333"/>
          <w:lang w:val="uk-UA"/>
        </w:rPr>
        <w:t>С</w:t>
      </w:r>
      <w:r>
        <w:rPr>
          <w:color w:val="333333"/>
          <w:lang w:val="uk-UA"/>
        </w:rPr>
        <w:t>екретар ради:</w:t>
      </w:r>
      <w:r w:rsidR="009C5D4C" w:rsidRPr="00575ECE">
        <w:rPr>
          <w:color w:val="333333"/>
        </w:rPr>
        <w:t>                                                               </w:t>
      </w:r>
      <w:r>
        <w:rPr>
          <w:color w:val="333333"/>
          <w:lang w:val="uk-UA"/>
        </w:rPr>
        <w:t>З.А.Алексєєва</w:t>
      </w: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>                                                                                                                             </w:t>
      </w:r>
    </w:p>
    <w:p w:rsidR="004A27CC" w:rsidRPr="00575ECE" w:rsidRDefault="00970A52" w:rsidP="009C5D4C">
      <w:pPr>
        <w:pStyle w:val="a3"/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575ECE">
        <w:rPr>
          <w:color w:val="333333"/>
        </w:rPr>
        <w:t xml:space="preserve">   </w:t>
      </w:r>
    </w:p>
    <w:p w:rsidR="004A27CC" w:rsidRPr="00575ECE" w:rsidRDefault="004A27CC" w:rsidP="009C5D4C">
      <w:pPr>
        <w:pStyle w:val="a3"/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E2479E" w:rsidRDefault="00E2479E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E2479E" w:rsidRPr="00575ECE" w:rsidRDefault="00E2479E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Pr="00575ECE" w:rsidRDefault="0044069F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lastRenderedPageBreak/>
        <w:t>ТЕСТ</w:t>
      </w:r>
    </w:p>
    <w:p w:rsidR="009C5D4C" w:rsidRPr="00575ECE" w:rsidRDefault="009C5D4C" w:rsidP="007966FC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  <w:r w:rsidRPr="00575ECE">
        <w:rPr>
          <w:b/>
          <w:bCs/>
          <w:color w:val="333333"/>
        </w:rPr>
        <w:t xml:space="preserve"> малого </w:t>
      </w:r>
      <w:proofErr w:type="gramStart"/>
      <w:r w:rsidRPr="00575ECE">
        <w:rPr>
          <w:b/>
          <w:bCs/>
          <w:color w:val="333333"/>
        </w:rPr>
        <w:t>п</w:t>
      </w:r>
      <w:proofErr w:type="gramEnd"/>
      <w:r w:rsidRPr="00575ECE">
        <w:rPr>
          <w:b/>
          <w:bCs/>
          <w:color w:val="333333"/>
        </w:rPr>
        <w:t>ідприємництва (М-Тест)</w:t>
      </w: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b/>
          <w:bCs/>
          <w:color w:val="333333"/>
        </w:rPr>
        <w:t>1. Консультації з представниками мікр</w:t>
      </w:r>
      <w:proofErr w:type="gramStart"/>
      <w:r w:rsidRPr="00575ECE">
        <w:rPr>
          <w:b/>
          <w:bCs/>
          <w:color w:val="333333"/>
        </w:rPr>
        <w:t>о-</w:t>
      </w:r>
      <w:proofErr w:type="gramEnd"/>
      <w:r w:rsidRPr="00575ECE">
        <w:rPr>
          <w:b/>
          <w:bCs/>
          <w:color w:val="333333"/>
        </w:rPr>
        <w:t xml:space="preserve"> та малого підприємництва щодо оцінки впливу регулювання</w:t>
      </w:r>
    </w:p>
    <w:p w:rsidR="009C5D4C" w:rsidRPr="00575ECE" w:rsidRDefault="009C5D4C" w:rsidP="007966F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>Консультації щодо визначення впливу запропонованого регулювання на суб’єктів малого підприємництва та визначення детального переліку процедур, виконання яких необхідно для здійснення регулювання, проведено розробником у період з 01 Березня 201</w:t>
      </w:r>
      <w:r w:rsidR="00874B67" w:rsidRPr="00575ECE">
        <w:rPr>
          <w:color w:val="333333"/>
          <w:lang w:val="uk-UA"/>
        </w:rPr>
        <w:t>8</w:t>
      </w:r>
      <w:r w:rsidRPr="00575ECE">
        <w:rPr>
          <w:color w:val="333333"/>
        </w:rPr>
        <w:t xml:space="preserve"> р. по 01</w:t>
      </w:r>
      <w:proofErr w:type="gramStart"/>
      <w:r w:rsidRPr="00575ECE">
        <w:rPr>
          <w:color w:val="333333"/>
        </w:rPr>
        <w:t xml:space="preserve"> К</w:t>
      </w:r>
      <w:proofErr w:type="gramEnd"/>
      <w:r w:rsidRPr="00575ECE">
        <w:rPr>
          <w:color w:val="333333"/>
        </w:rPr>
        <w:t>вітня 201</w:t>
      </w:r>
      <w:r w:rsidR="00874B67" w:rsidRPr="00575ECE">
        <w:rPr>
          <w:color w:val="333333"/>
          <w:lang w:val="uk-UA"/>
        </w:rPr>
        <w:t>8</w:t>
      </w:r>
      <w:r w:rsidRPr="00575ECE">
        <w:rPr>
          <w:color w:val="333333"/>
        </w:rPr>
        <w:t xml:space="preserve"> р. </w:t>
      </w:r>
    </w:p>
    <w:tbl>
      <w:tblPr>
        <w:tblW w:w="89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6"/>
        <w:gridCol w:w="3667"/>
        <w:gridCol w:w="1786"/>
        <w:gridCol w:w="1924"/>
      </w:tblGrid>
      <w:tr w:rsidR="009C5D4C" w:rsidRPr="00575ECE" w:rsidTr="009C5D4C">
        <w:trPr>
          <w:trHeight w:val="30"/>
        </w:trPr>
        <w:tc>
          <w:tcPr>
            <w:tcW w:w="1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4014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 консультації (публічні консультації прямі (круглі столи, наради, робочі зустрічі тощо), інтернет-консультації прямі (інтернет-форуми,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іальні мережі тощо), запити (до підприємців, експертів, науковців тощо)</w:t>
            </w:r>
          </w:p>
        </w:tc>
        <w:tc>
          <w:tcPr>
            <w:tcW w:w="15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Кількість учасників консультацій,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осіб</w:t>
            </w:r>
            <w:proofErr w:type="gramEnd"/>
          </w:p>
        </w:tc>
        <w:tc>
          <w:tcPr>
            <w:tcW w:w="193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Основні результати консультацій (опис)</w:t>
            </w:r>
          </w:p>
        </w:tc>
      </w:tr>
      <w:tr w:rsidR="009C5D4C" w:rsidRPr="00575ECE" w:rsidTr="009C5D4C">
        <w:trPr>
          <w:trHeight w:val="30"/>
        </w:trPr>
        <w:tc>
          <w:tcPr>
            <w:tcW w:w="1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F85E7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4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Робочі наради та зустрічі (опитування)</w:t>
            </w:r>
          </w:p>
        </w:tc>
        <w:tc>
          <w:tcPr>
            <w:tcW w:w="15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644C3E" w:rsidP="009C5D4C">
            <w:pPr>
              <w:spacing w:after="150" w:line="30" w:lineRule="atLeast"/>
              <w:ind w:left="7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93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8228EF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Обговорено та запропоновано з</w:t>
            </w:r>
            <w:r w:rsidR="008228EF"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мінити 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розміри  ставок місцевих податків і зборів на 201</w:t>
            </w:r>
            <w:r w:rsidR="008228EF"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</w:t>
            </w:r>
          </w:p>
        </w:tc>
      </w:tr>
      <w:tr w:rsidR="009C5D4C" w:rsidRPr="00575ECE" w:rsidTr="009C5D4C">
        <w:trPr>
          <w:trHeight w:val="30"/>
        </w:trPr>
        <w:tc>
          <w:tcPr>
            <w:tcW w:w="142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C5D4C" w:rsidRPr="00575ECE" w:rsidRDefault="009C5D4C" w:rsidP="00F85E7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14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консультацій:</w:t>
            </w:r>
          </w:p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телефонному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усному режимі</w:t>
            </w:r>
          </w:p>
        </w:tc>
        <w:tc>
          <w:tcPr>
            <w:tcW w:w="1598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644C3E" w:rsidP="009C5D4C">
            <w:pPr>
              <w:spacing w:after="150" w:line="30" w:lineRule="atLeast"/>
              <w:ind w:left="78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933" w:type="dxa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8228EF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Отримана інформація про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місцеві податки і збори на 2018 рік, обговорено та запропоновано з</w:t>
            </w:r>
            <w:r w:rsidR="008228EF"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мінити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розміри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ставок місцевих податків і зборів на 201</w:t>
            </w:r>
            <w:r w:rsidR="008228EF"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Pr="00575E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 </w:t>
            </w:r>
          </w:p>
        </w:tc>
      </w:tr>
    </w:tbl>
    <w:p w:rsidR="00E2479E" w:rsidRDefault="00E2479E" w:rsidP="009C5D4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333333"/>
          <w:lang w:val="uk-UA"/>
        </w:rPr>
      </w:pP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575ECE">
        <w:rPr>
          <w:b/>
          <w:bCs/>
          <w:color w:val="333333"/>
        </w:rPr>
        <w:t xml:space="preserve">2. Вимірювання впливу регулювання на суб’єктів малого </w:t>
      </w:r>
      <w:proofErr w:type="gramStart"/>
      <w:r w:rsidRPr="00575ECE">
        <w:rPr>
          <w:b/>
          <w:bCs/>
          <w:color w:val="333333"/>
        </w:rPr>
        <w:t>п</w:t>
      </w:r>
      <w:proofErr w:type="gramEnd"/>
      <w:r w:rsidRPr="00575ECE">
        <w:rPr>
          <w:b/>
          <w:bCs/>
          <w:color w:val="333333"/>
        </w:rPr>
        <w:t>ідприємництва (мікро- та малі):</w:t>
      </w: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u w:val="single"/>
        </w:rPr>
      </w:pPr>
      <w:r w:rsidRPr="00575ECE">
        <w:rPr>
          <w:b/>
          <w:i/>
          <w:color w:val="333333"/>
          <w:u w:val="single"/>
        </w:rPr>
        <w:t xml:space="preserve"> кількість суб’єктів малого </w:t>
      </w:r>
      <w:proofErr w:type="gramStart"/>
      <w:r w:rsidRPr="00575ECE">
        <w:rPr>
          <w:b/>
          <w:i/>
          <w:color w:val="333333"/>
          <w:u w:val="single"/>
        </w:rPr>
        <w:t>п</w:t>
      </w:r>
      <w:proofErr w:type="gramEnd"/>
      <w:r w:rsidRPr="00575ECE">
        <w:rPr>
          <w:b/>
          <w:i/>
          <w:color w:val="333333"/>
          <w:u w:val="single"/>
        </w:rPr>
        <w:t>ідприємництва, на як</w:t>
      </w:r>
      <w:r w:rsidR="00644C3E" w:rsidRPr="00575ECE">
        <w:rPr>
          <w:b/>
          <w:i/>
          <w:color w:val="333333"/>
          <w:u w:val="single"/>
        </w:rPr>
        <w:t xml:space="preserve">их поширюється регулювання: </w:t>
      </w:r>
      <w:r w:rsidR="00644C3E" w:rsidRPr="00575ECE">
        <w:rPr>
          <w:b/>
          <w:i/>
          <w:color w:val="333333"/>
          <w:u w:val="single"/>
          <w:lang w:val="uk-UA"/>
        </w:rPr>
        <w:t xml:space="preserve">98 </w:t>
      </w:r>
      <w:r w:rsidRPr="00575ECE">
        <w:rPr>
          <w:b/>
          <w:i/>
          <w:color w:val="333333"/>
          <w:u w:val="single"/>
        </w:rPr>
        <w:t>(одиниць),</w:t>
      </w: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u w:val="single"/>
        </w:rPr>
      </w:pPr>
      <w:r w:rsidRPr="00575ECE">
        <w:rPr>
          <w:b/>
          <w:i/>
          <w:color w:val="333333"/>
          <w:u w:val="single"/>
        </w:rPr>
        <w:t xml:space="preserve">питома вага суб’єктів малого </w:t>
      </w:r>
      <w:proofErr w:type="gramStart"/>
      <w:r w:rsidRPr="00575ECE">
        <w:rPr>
          <w:b/>
          <w:i/>
          <w:color w:val="333333"/>
          <w:u w:val="single"/>
        </w:rPr>
        <w:t>п</w:t>
      </w:r>
      <w:proofErr w:type="gramEnd"/>
      <w:r w:rsidRPr="00575ECE">
        <w:rPr>
          <w:b/>
          <w:i/>
          <w:color w:val="333333"/>
          <w:u w:val="single"/>
        </w:rPr>
        <w:t>ідприємництва у загальній кількості суб’єктів господарювання, на яких проблема справляє вплив  100%</w:t>
      </w:r>
    </w:p>
    <w:p w:rsidR="00E2479E" w:rsidRDefault="00E2479E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</w:p>
    <w:p w:rsidR="00E2479E" w:rsidRDefault="00E2479E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</w:p>
    <w:p w:rsidR="009C5D4C" w:rsidRPr="00575ECE" w:rsidRDefault="009C5D4C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lastRenderedPageBreak/>
        <w:t xml:space="preserve">3. Розрахунок витрат суб’єктів малого </w:t>
      </w:r>
      <w:proofErr w:type="gramStart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</w:t>
      </w:r>
      <w:proofErr w:type="gramEnd"/>
      <w:r w:rsidRPr="00575EC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ідприємництва на виконання вимог регулювання</w:t>
      </w:r>
    </w:p>
    <w:tbl>
      <w:tblPr>
        <w:tblW w:w="100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"/>
        <w:gridCol w:w="807"/>
        <w:gridCol w:w="4003"/>
        <w:gridCol w:w="318"/>
        <w:gridCol w:w="1382"/>
        <w:gridCol w:w="308"/>
        <w:gridCol w:w="1134"/>
        <w:gridCol w:w="286"/>
        <w:gridCol w:w="806"/>
        <w:gridCol w:w="292"/>
      </w:tblGrid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5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Найменування оцінки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У перший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ік (стартовий рік провадження регулювання)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Періодичні (за наступний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ік)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Витрати за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п'ять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років</w:t>
            </w:r>
          </w:p>
        </w:tc>
      </w:tr>
      <w:tr w:rsidR="009C5D4C" w:rsidRPr="00575ECE" w:rsidTr="00E2479E">
        <w:trPr>
          <w:trHeight w:val="30"/>
        </w:trPr>
        <w:tc>
          <w:tcPr>
            <w:tcW w:w="10048" w:type="dxa"/>
            <w:gridSpan w:val="10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Оцінка "прямих" витрат суб'єктів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ідприємництва на виконання регулювання</w:t>
            </w:r>
          </w:p>
        </w:tc>
      </w:tr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Придбання необхідного обладнання (пристрої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машин, механізмів)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trHeight w:val="1004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Процедури повірки та/або постановки на відповідний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 у визначеному органі державної влади чи місцевого самоврядування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Процедури експлуатації обладнання (експлуатаційні витрати - витратні матеріали)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Процедури обслуговування обладнання (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ічне обслуговування)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Інші процедури</w:t>
            </w:r>
          </w:p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(сплата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зборів), гривень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3F1417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3365,25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</w:tr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Разом, гривень Формула:</w:t>
            </w:r>
          </w:p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(сума рядків 1 + 2 + 3 + 4 + 5)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3F1417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3365,25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Кількість суб'єктів господарювання, що повинні виконати вимоги регулювання, одиниць</w:t>
            </w:r>
          </w:p>
        </w:tc>
        <w:tc>
          <w:tcPr>
            <w:tcW w:w="4208" w:type="dxa"/>
            <w:gridSpan w:val="6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3F1417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98</w:t>
            </w:r>
          </w:p>
        </w:tc>
      </w:tr>
      <w:tr w:rsidR="009C5D4C" w:rsidRPr="00575ECE" w:rsidTr="00E2479E">
        <w:trPr>
          <w:trHeight w:val="30"/>
        </w:trPr>
        <w:tc>
          <w:tcPr>
            <w:tcW w:w="1519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1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Сумарно, гривень Формула:</w:t>
            </w:r>
          </w:p>
          <w:p w:rsidR="009C5D4C" w:rsidRPr="00E2479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відповідний стовпчик "разом" Х кількість суб' 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ідприємництва, що повинні виконати вимоги регулювання (рядок 6 Х рядок 7), грн</w:t>
            </w:r>
            <w:r w:rsidR="00E247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69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3F1417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329794,5</w:t>
            </w:r>
          </w:p>
        </w:tc>
        <w:tc>
          <w:tcPr>
            <w:tcW w:w="142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8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E2479E" w:rsidTr="00E2479E">
        <w:trPr>
          <w:gridAfter w:val="1"/>
          <w:wAfter w:w="292" w:type="dxa"/>
          <w:trHeight w:val="31"/>
        </w:trPr>
        <w:tc>
          <w:tcPr>
            <w:tcW w:w="9756" w:type="dxa"/>
            <w:gridSpan w:val="9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E2479E" w:rsidRDefault="009C5D4C" w:rsidP="009C5D4C">
            <w:pPr>
              <w:spacing w:after="150" w:line="30" w:lineRule="atLeast"/>
              <w:ind w:left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Оцінка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вартості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адм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іністративних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процедур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суб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’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єктів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малого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підприємництва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щодо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виконання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регулювання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та</w:t>
            </w:r>
            <w:r w:rsidRPr="00E2479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звітування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Процедури отримання первинної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інформації про вимоги регулювання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3F1417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 год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.х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12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грн.= 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12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грн.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Процедури організації виконання вимог регулювання: Внесення змін до внутрішніх процедур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обл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іку та звітності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 год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.х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12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грн.= 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8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12</w:t>
            </w:r>
            <w:r w:rsidR="003F1417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грн.</w:t>
            </w:r>
          </w:p>
          <w:p w:rsidR="009C5D4C" w:rsidRPr="00575ECE" w:rsidRDefault="009C5D4C" w:rsidP="009C5D4C">
            <w:pPr>
              <w:spacing w:after="150" w:line="3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Процедури офіційного звітування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Процедури щодо забезпечення процесу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ірок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Інші процедури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передбачено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Разом, гривень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3F1417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</w:t>
            </w:r>
            <w:r w:rsidR="009C5D4C"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Кількість суб’єктів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ідприємництва, що повинні виконати вимоги регулювання, одиниць</w:t>
            </w:r>
          </w:p>
        </w:tc>
        <w:tc>
          <w:tcPr>
            <w:tcW w:w="4234" w:type="dxa"/>
            <w:gridSpan w:val="6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644C3E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98</w:t>
            </w:r>
          </w:p>
        </w:tc>
      </w:tr>
      <w:tr w:rsidR="009C5D4C" w:rsidRPr="00575ECE" w:rsidTr="00E2479E">
        <w:trPr>
          <w:gridAfter w:val="1"/>
          <w:wAfter w:w="292" w:type="dxa"/>
          <w:trHeight w:val="31"/>
        </w:trPr>
        <w:tc>
          <w:tcPr>
            <w:tcW w:w="712" w:type="dxa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4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Сумарно, гривень</w:t>
            </w:r>
          </w:p>
        </w:tc>
        <w:tc>
          <w:tcPr>
            <w:tcW w:w="1700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3F1417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9647,12</w:t>
            </w:r>
          </w:p>
        </w:tc>
        <w:tc>
          <w:tcPr>
            <w:tcW w:w="144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92" w:type="dxa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30" w:lineRule="atLeast"/>
              <w:ind w:left="64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</w:tbl>
    <w:p w:rsidR="00970A52" w:rsidRPr="00575ECE" w:rsidRDefault="00970A52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970A52" w:rsidRPr="00575ECE" w:rsidRDefault="00970A52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>БЮДЖЕТНІ ВИТРАТИ</w:t>
      </w: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 на </w:t>
      </w:r>
      <w:proofErr w:type="gramStart"/>
      <w:r w:rsidRPr="00575ECE">
        <w:rPr>
          <w:b/>
          <w:bCs/>
          <w:color w:val="333333"/>
        </w:rPr>
        <w:t>адм</w:t>
      </w:r>
      <w:proofErr w:type="gramEnd"/>
      <w:r w:rsidRPr="00575ECE">
        <w:rPr>
          <w:b/>
          <w:bCs/>
          <w:color w:val="333333"/>
        </w:rPr>
        <w:t>іністрування регулювання для суб’єктів малого і мікропідприємництва</w:t>
      </w: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Бюджетні витрати не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ідлягають розрахунку, оскільки встановлені нормами Податкового кодексу України.</w:t>
      </w:r>
    </w:p>
    <w:p w:rsidR="009C5D4C" w:rsidRPr="00575ECE" w:rsidRDefault="009C5D4C" w:rsidP="009C5D4C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333333"/>
          <w:u w:val="single"/>
        </w:rPr>
      </w:pPr>
      <w:r w:rsidRPr="00575ECE">
        <w:rPr>
          <w:b/>
          <w:bCs/>
          <w:i/>
          <w:color w:val="333333"/>
          <w:u w:val="single"/>
        </w:rPr>
        <w:t xml:space="preserve">4. Розрахунок сумарних витрат суб’єктів малого </w:t>
      </w:r>
      <w:proofErr w:type="gramStart"/>
      <w:r w:rsidRPr="00575ECE">
        <w:rPr>
          <w:b/>
          <w:bCs/>
          <w:i/>
          <w:color w:val="333333"/>
          <w:u w:val="single"/>
        </w:rPr>
        <w:t>п</w:t>
      </w:r>
      <w:proofErr w:type="gramEnd"/>
      <w:r w:rsidRPr="00575ECE">
        <w:rPr>
          <w:b/>
          <w:bCs/>
          <w:i/>
          <w:color w:val="333333"/>
          <w:u w:val="single"/>
        </w:rPr>
        <w:t>ідприємництва, що виникають на виконання вимог регулювання</w:t>
      </w:r>
    </w:p>
    <w:tbl>
      <w:tblPr>
        <w:tblW w:w="992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4651"/>
        <w:gridCol w:w="2356"/>
        <w:gridCol w:w="2235"/>
      </w:tblGrid>
      <w:tr w:rsidR="009C5D4C" w:rsidRPr="00575ECE" w:rsidTr="00780C01">
        <w:trPr>
          <w:trHeight w:val="663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Перший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ік регулювання (стартовий), гривень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За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п’ять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років, гривень</w:t>
            </w:r>
          </w:p>
        </w:tc>
      </w:tr>
      <w:tr w:rsidR="009C5D4C" w:rsidRPr="00575ECE" w:rsidTr="00780C01">
        <w:trPr>
          <w:trHeight w:val="682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Оцінка “прямих” витрат суб’єктів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 на виконання регулювання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FB2F7E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329794,5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780C01">
        <w:trPr>
          <w:trHeight w:val="935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Оцінка вартості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іністративних процедур для суб’єктів малого підприємництва щодо виконання регулювання та звітування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FB2F7E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9647,12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780C01">
        <w:trPr>
          <w:trHeight w:val="682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Сумарні витрати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ідприємництва на виконання запланованого регулювання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FB2F7E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339441,62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780C01">
        <w:trPr>
          <w:trHeight w:val="663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Бюджетні витрати на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адм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іністрування регулювання суб’єктів малого підприємництва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  <w:tr w:rsidR="009C5D4C" w:rsidRPr="00575ECE" w:rsidTr="00780C01">
        <w:trPr>
          <w:trHeight w:val="682"/>
        </w:trPr>
        <w:tc>
          <w:tcPr>
            <w:tcW w:w="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Сумарні витрати на виконання запланованого регулювання</w:t>
            </w:r>
          </w:p>
        </w:tc>
        <w:tc>
          <w:tcPr>
            <w:tcW w:w="23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FB2F7E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uk-UA" w:eastAsia="ru-RU"/>
              </w:rPr>
              <w:t>339441,62</w:t>
            </w:r>
          </w:p>
        </w:tc>
        <w:tc>
          <w:tcPr>
            <w:tcW w:w="22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C5D4C" w:rsidRPr="00575ECE" w:rsidRDefault="009C5D4C" w:rsidP="009C5D4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</w:tr>
    </w:tbl>
    <w:p w:rsidR="00780C01" w:rsidRPr="00575ECE" w:rsidRDefault="00780C01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color w:val="333333"/>
        </w:rPr>
        <w:t> </w:t>
      </w:r>
    </w:p>
    <w:p w:rsidR="00780C01" w:rsidRPr="00575ECE" w:rsidRDefault="00780C01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5. Розроблення корегуючих (пом’якшувальних) заходів для малого </w:t>
      </w:r>
      <w:proofErr w:type="gramStart"/>
      <w:r w:rsidRPr="00575ECE">
        <w:rPr>
          <w:b/>
          <w:bCs/>
          <w:color w:val="333333"/>
        </w:rPr>
        <w:t>п</w:t>
      </w:r>
      <w:proofErr w:type="gramEnd"/>
      <w:r w:rsidRPr="00575ECE">
        <w:rPr>
          <w:b/>
          <w:bCs/>
          <w:color w:val="333333"/>
        </w:rPr>
        <w:t>ідприємництва щодо запропонованого регулювання</w:t>
      </w:r>
    </w:p>
    <w:p w:rsidR="00780C01" w:rsidRPr="00575ECE" w:rsidRDefault="00780C01" w:rsidP="00780C01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       На основі аналізу статистичних даних що наданні головним бухгалтером Веселівської сільської ради визначено, що зазначена сума є прийнятною для суб’єктів малого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ідприємництва і впровадження компенсаторних (пом’якшувальних ) процедур не потрібно.</w:t>
      </w:r>
    </w:p>
    <w:tbl>
      <w:tblPr>
        <w:tblW w:w="961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5"/>
        <w:gridCol w:w="4806"/>
      </w:tblGrid>
      <w:tr w:rsidR="00780C01" w:rsidRPr="00575ECE" w:rsidTr="00780C01">
        <w:trPr>
          <w:trHeight w:val="480"/>
        </w:trPr>
        <w:tc>
          <w:tcPr>
            <w:tcW w:w="48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Процедура, що потребує корегування </w:t>
            </w:r>
          </w:p>
        </w:tc>
        <w:tc>
          <w:tcPr>
            <w:tcW w:w="48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Корегуючий механізм</w:t>
            </w:r>
          </w:p>
        </w:tc>
      </w:tr>
      <w:tr w:rsidR="00780C01" w:rsidRPr="00575ECE" w:rsidTr="00780C01">
        <w:trPr>
          <w:trHeight w:val="458"/>
        </w:trPr>
        <w:tc>
          <w:tcPr>
            <w:tcW w:w="48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</w:tr>
    </w:tbl>
    <w:p w:rsidR="009C5D4C" w:rsidRPr="00575ECE" w:rsidRDefault="009C5D4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80C01" w:rsidRPr="00575ECE" w:rsidRDefault="00780C01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993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2"/>
        <w:gridCol w:w="3240"/>
        <w:gridCol w:w="3331"/>
      </w:tblGrid>
      <w:tr w:rsidR="00780C01" w:rsidRPr="00575ECE" w:rsidTr="00780C01">
        <w:trPr>
          <w:trHeight w:val="1150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Показник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Сумарні витрати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 на виконання запланованого регулювання за перший рік, гривень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Сумарні витрати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bCs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 на виконання запланованого регулювання за п’ять років, гривень</w:t>
            </w:r>
          </w:p>
        </w:tc>
      </w:tr>
      <w:tr w:rsidR="00780C01" w:rsidRPr="00575ECE" w:rsidTr="00780C01">
        <w:trPr>
          <w:trHeight w:val="415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Заплановане регулювання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006BD7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val="uk-UA" w:eastAsia="ru-RU"/>
              </w:rPr>
              <w:t>339441,62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 </w:t>
            </w:r>
          </w:p>
        </w:tc>
      </w:tr>
      <w:tr w:rsidR="00780C01" w:rsidRPr="00575ECE" w:rsidTr="00780C01">
        <w:trPr>
          <w:trHeight w:val="660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За умов застосування компенсаторних механізмів для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</w:tr>
      <w:tr w:rsidR="00780C01" w:rsidRPr="00575ECE" w:rsidTr="00780C01">
        <w:trPr>
          <w:trHeight w:val="641"/>
        </w:trPr>
        <w:tc>
          <w:tcPr>
            <w:tcW w:w="3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 xml:space="preserve">Сумарно: зміна вартості регулювання малого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ідприємництва</w:t>
            </w:r>
          </w:p>
        </w:tc>
        <w:tc>
          <w:tcPr>
            <w:tcW w:w="3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  <w:tc>
          <w:tcPr>
            <w:tcW w:w="33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780C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u w:val="single"/>
                <w:lang w:eastAsia="ru-RU"/>
              </w:rPr>
              <w:t>0</w:t>
            </w:r>
          </w:p>
        </w:tc>
      </w:tr>
    </w:tbl>
    <w:p w:rsidR="0044069F" w:rsidRPr="00575ECE" w:rsidRDefault="0044069F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44069F" w:rsidRDefault="0044069F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E2479E" w:rsidRDefault="00E2479E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E2479E" w:rsidRDefault="00E2479E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E2479E" w:rsidRDefault="00E2479E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E2479E" w:rsidRDefault="00E2479E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E2479E" w:rsidRPr="00575ECE" w:rsidRDefault="00E2479E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lang w:val="uk-UA"/>
        </w:rPr>
      </w:pPr>
    </w:p>
    <w:p w:rsidR="00780C01" w:rsidRPr="00575ECE" w:rsidRDefault="00780C01" w:rsidP="00780C01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Аналіз регуляторного впливу проекту </w:t>
      </w:r>
      <w:proofErr w:type="gramStart"/>
      <w:r w:rsidRPr="00575ECE">
        <w:rPr>
          <w:b/>
          <w:bCs/>
          <w:color w:val="333333"/>
        </w:rPr>
        <w:t>р</w:t>
      </w:r>
      <w:proofErr w:type="gramEnd"/>
      <w:r w:rsidRPr="00575ECE">
        <w:rPr>
          <w:b/>
          <w:bCs/>
          <w:color w:val="333333"/>
        </w:rPr>
        <w:t>ішення сільської  ради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575ECE">
        <w:rPr>
          <w:b/>
          <w:bCs/>
          <w:color w:val="333333"/>
        </w:rPr>
        <w:t xml:space="preserve">«Про затвердження Положень та ставок місцевих податків і зборів на території </w:t>
      </w:r>
      <w:r w:rsidR="00C74964" w:rsidRPr="00575ECE">
        <w:rPr>
          <w:b/>
          <w:bCs/>
          <w:color w:val="333333"/>
          <w:lang w:val="uk-UA"/>
        </w:rPr>
        <w:t xml:space="preserve">Прибужанівської </w:t>
      </w:r>
      <w:r w:rsidRPr="00575ECE">
        <w:rPr>
          <w:b/>
          <w:bCs/>
          <w:color w:val="333333"/>
        </w:rPr>
        <w:t xml:space="preserve"> сільської ради на 201</w:t>
      </w:r>
      <w:r w:rsidR="00C74964" w:rsidRPr="00575ECE">
        <w:rPr>
          <w:b/>
          <w:bCs/>
          <w:color w:val="333333"/>
          <w:lang w:val="uk-UA"/>
        </w:rPr>
        <w:t>9</w:t>
      </w:r>
      <w:r w:rsidRPr="00575ECE">
        <w:rPr>
          <w:b/>
          <w:bCs/>
          <w:color w:val="333333"/>
        </w:rPr>
        <w:t xml:space="preserve"> </w:t>
      </w:r>
      <w:proofErr w:type="gramStart"/>
      <w:r w:rsidRPr="00575ECE">
        <w:rPr>
          <w:b/>
          <w:bCs/>
          <w:color w:val="333333"/>
        </w:rPr>
        <w:t>р</w:t>
      </w:r>
      <w:proofErr w:type="gramEnd"/>
      <w:r w:rsidRPr="00575ECE">
        <w:rPr>
          <w:b/>
          <w:bCs/>
          <w:color w:val="333333"/>
        </w:rPr>
        <w:t>ік»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Аналіз регуляторного впливу проекту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міської ради «Про затвердження Положень та ставок місцевих податків і зборів на території </w:t>
      </w:r>
      <w:r w:rsidR="00C74964" w:rsidRPr="00575ECE">
        <w:rPr>
          <w:color w:val="333333"/>
          <w:lang w:val="uk-UA"/>
        </w:rPr>
        <w:t>Прибужанівської</w:t>
      </w:r>
      <w:r w:rsidRPr="00575ECE">
        <w:rPr>
          <w:color w:val="333333"/>
        </w:rPr>
        <w:t xml:space="preserve"> сільської ради на 201</w:t>
      </w:r>
      <w:r w:rsidR="00C74964" w:rsidRPr="00575ECE">
        <w:rPr>
          <w:color w:val="333333"/>
          <w:lang w:val="uk-UA"/>
        </w:rPr>
        <w:t>9</w:t>
      </w:r>
      <w:r w:rsidRPr="00575ECE">
        <w:rPr>
          <w:color w:val="333333"/>
        </w:rPr>
        <w:t xml:space="preserve"> рік» підготовлено згідно з вимогами Закону України «Про засади державної регуляторної політики у сфері господарської діяльності», Методики проведення аналізу впливу регуляторного акта, затвердженої постановою Кабінету Міні</w:t>
      </w:r>
      <w:proofErr w:type="gramStart"/>
      <w:r w:rsidRPr="00575ECE">
        <w:rPr>
          <w:color w:val="333333"/>
        </w:rPr>
        <w:t>стр</w:t>
      </w:r>
      <w:proofErr w:type="gramEnd"/>
      <w:r w:rsidRPr="00575ECE">
        <w:rPr>
          <w:color w:val="333333"/>
        </w:rPr>
        <w:t>ів України від 11.03.04 № 308.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1. Визначення та аналіз проблеми, яку пропонується розв'язати шляхом регулювання господарських відносин.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Законом України «Про </w:t>
      </w:r>
      <w:proofErr w:type="gramStart"/>
      <w:r w:rsidRPr="00575ECE">
        <w:rPr>
          <w:color w:val="333333"/>
        </w:rPr>
        <w:t>м</w:t>
      </w:r>
      <w:proofErr w:type="gramEnd"/>
      <w:r w:rsidRPr="00575ECE">
        <w:rPr>
          <w:color w:val="333333"/>
        </w:rPr>
        <w:t>ісцеве самоврядування в Україні» та Податковим кодексом України повноваження щодо встановлення місцевих податків і зборів покладені на органи місцевого самоврядування.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Податковим кодексом зобов’язано органи місцевого самоврядування забезпечити 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ішень та їх офіційне оприлюднення щодо встановлення місцевих податків та зборів до 15 липня року, що передує бюджетному періоду, в якому планується їх застосування. 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Даним проектом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 xml:space="preserve">ішення пропонується затвердити рішення сільської ради «Про затвердження Положень та ставок місцевих податків і зборів на території </w:t>
      </w:r>
      <w:r w:rsidR="00C74964" w:rsidRPr="00575ECE">
        <w:rPr>
          <w:color w:val="333333"/>
          <w:lang w:val="uk-UA"/>
        </w:rPr>
        <w:t xml:space="preserve">Прибужанівської </w:t>
      </w:r>
      <w:r w:rsidRPr="00575ECE">
        <w:rPr>
          <w:color w:val="333333"/>
        </w:rPr>
        <w:t>сільської ради на 201</w:t>
      </w:r>
      <w:r w:rsidR="00C74964" w:rsidRPr="00575ECE">
        <w:rPr>
          <w:color w:val="333333"/>
          <w:lang w:val="uk-UA"/>
        </w:rPr>
        <w:t>9</w:t>
      </w:r>
      <w:r w:rsidRPr="00575ECE">
        <w:rPr>
          <w:color w:val="333333"/>
        </w:rPr>
        <w:t xml:space="preserve"> рік» з додатками до цього рішення.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Прийняття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з даного питання необхідне для прозорого та ефективного встановлення місцевих податків та зборів, здійснення необхідного контролю за своєчасністю та повнотою проведення платежів.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2. </w:t>
      </w:r>
      <w:proofErr w:type="gramStart"/>
      <w:r w:rsidRPr="00575ECE">
        <w:rPr>
          <w:b/>
          <w:bCs/>
          <w:color w:val="333333"/>
        </w:rPr>
        <w:t>Ц</w:t>
      </w:r>
      <w:proofErr w:type="gramEnd"/>
      <w:r w:rsidRPr="00575ECE">
        <w:rPr>
          <w:b/>
          <w:bCs/>
          <w:color w:val="333333"/>
        </w:rPr>
        <w:t>ілі регулювання.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Основними цілями прийняття пропонованого регуляторного акту</w:t>
      </w:r>
      <w:proofErr w:type="gramStart"/>
      <w:r w:rsidRPr="00575ECE">
        <w:rPr>
          <w:color w:val="333333"/>
        </w:rPr>
        <w:t xml:space="preserve"> є:</w:t>
      </w:r>
      <w:proofErr w:type="gramEnd"/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визначення переліку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зборів, що мають справлятися на території сільської ради;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встановлення відносин, що виникають у сфері справляння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зборів;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- встановлення розмірів ставок місцевих податків та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межах визначених Податковим кодексом України із врахуванням потреб об’єднаної територіальної громади;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 здійснення планування та прогнозування надходжень від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 при формуванні сільського бюджету об’єднаної громади.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3.</w:t>
      </w:r>
      <w:r w:rsidRPr="00575ECE">
        <w:rPr>
          <w:color w:val="333333"/>
        </w:rPr>
        <w:t> </w:t>
      </w:r>
      <w:r w:rsidRPr="00575ECE">
        <w:rPr>
          <w:b/>
          <w:bCs/>
          <w:color w:val="333333"/>
        </w:rPr>
        <w:t>Визначення та оцінка усіх прийнятих альтернативних способів досягнення зазначених цілей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Альтернативи щодо вирішення даної проблеми немає, оскільки відповідно до Податкового кодексу України органи місцевого самоврядування самостійно встановлюють і визначають порядок сплати місцевих податків та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>ідповідно до переліку і в межах установлених граничних розмірів ставок.</w:t>
      </w:r>
    </w:p>
    <w:p w:rsidR="00780C01" w:rsidRPr="00575ECE" w:rsidRDefault="00780C01" w:rsidP="00E2479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575ECE">
        <w:rPr>
          <w:color w:val="333333"/>
        </w:rPr>
        <w:t xml:space="preserve">У разі не встановлення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ішеннями органів місцевого самоврядування, місцевих податків та зборів. Передбачених пунктом 10.3 статті 10 Кодексу, такі податки і збори сплачуються платниками у порядку, встановленому Кодексом та за мінімальними ставками та без застосування відповідних коефіцієнтів.</w:t>
      </w:r>
      <w:r w:rsidRPr="00575ECE">
        <w:rPr>
          <w:color w:val="333333"/>
        </w:rPr>
        <w:br/>
        <w:t>Неприйняття рішення «Про встановлення місцевих податків та зборів» спричинить значні втрати дохідної частини бюджету об’єднаної громади.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lastRenderedPageBreak/>
        <w:t>4. Механізм розв'язання проблеми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Даним регуляторним актом передбачається встановити на території </w:t>
      </w:r>
      <w:r w:rsidR="00C74964" w:rsidRPr="00575ECE">
        <w:rPr>
          <w:color w:val="333333"/>
          <w:lang w:val="uk-UA"/>
        </w:rPr>
        <w:t>Прибужанівської сільської ради</w:t>
      </w:r>
      <w:r w:rsidRPr="00575ECE">
        <w:rPr>
          <w:color w:val="333333"/>
        </w:rPr>
        <w:t xml:space="preserve"> </w:t>
      </w:r>
      <w:proofErr w:type="gramStart"/>
      <w:r w:rsidRPr="00575ECE">
        <w:rPr>
          <w:color w:val="333333"/>
        </w:rPr>
        <w:t>м</w:t>
      </w:r>
      <w:proofErr w:type="gramEnd"/>
      <w:r w:rsidRPr="00575ECE">
        <w:rPr>
          <w:color w:val="333333"/>
        </w:rPr>
        <w:t>ісцеві податки та збори, їх ставки та порядок сплати.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Запропонований спосіб відповідає принципу державної регуляторної політики, а саме: </w:t>
      </w:r>
      <w:proofErr w:type="gramStart"/>
      <w:r w:rsidRPr="00575ECE">
        <w:rPr>
          <w:color w:val="333333"/>
        </w:rPr>
        <w:t>доц</w:t>
      </w:r>
      <w:proofErr w:type="gramEnd"/>
      <w:r w:rsidRPr="00575ECE">
        <w:rPr>
          <w:color w:val="333333"/>
        </w:rPr>
        <w:t>ільність, адекватність, ефективність, збалансованість, передбачуваність, принципу прозорості та врахування громадської думки та пропозицій суб’єктів підприємницької діяльності.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5. Обґрунтування можливості досягнення встановлених цілей </w:t>
      </w:r>
      <w:proofErr w:type="gramStart"/>
      <w:r w:rsidRPr="00575ECE">
        <w:rPr>
          <w:b/>
          <w:bCs/>
          <w:color w:val="333333"/>
        </w:rPr>
        <w:t>у</w:t>
      </w:r>
      <w:proofErr w:type="gramEnd"/>
      <w:r w:rsidRPr="00575ECE">
        <w:rPr>
          <w:b/>
          <w:bCs/>
          <w:color w:val="333333"/>
        </w:rPr>
        <w:t xml:space="preserve"> </w:t>
      </w:r>
      <w:proofErr w:type="gramStart"/>
      <w:r w:rsidRPr="00575ECE">
        <w:rPr>
          <w:b/>
          <w:bCs/>
          <w:color w:val="333333"/>
        </w:rPr>
        <w:t>раз</w:t>
      </w:r>
      <w:proofErr w:type="gramEnd"/>
      <w:r w:rsidRPr="00575ECE">
        <w:rPr>
          <w:b/>
          <w:bCs/>
          <w:color w:val="333333"/>
        </w:rPr>
        <w:t>і прийняття запропонованого регуляторного акта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 Прийняття цього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забезпечить належне справляння місцевих податків та зборів.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 Відповідно до статті 73 Закону України «Про місцеве самоврядування в Україні»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ішення, прийняті органами місцевого самоврядування в межах наданих їм повноважень, є обов'язкові для виконання всіма розташованими на відповідній території органами виконавчої влади, об’єднаннями громадян, підприємствами, установами та організаціями, посадовими особами, а також громадянами.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      Можливість досягнення зазначених цілей обґрунтована тим, що запропоноване регулювання забезпечує прозорість дій органів місцевого самоврядування по встановленню чіткої процедури сплати місцевих податкі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 xml:space="preserve"> та зборів.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6. Аналіз вигод та витрат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> Очікувані вигоди та витрати через прийняття регуляторного акта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       Дія зазначеного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поширюється на  фізичних осіб, юридичних осіб, органи місцевого самоврядування, територіально громаду.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 w:rsidRPr="00575ECE">
        <w:rPr>
          <w:color w:val="333333"/>
        </w:rPr>
        <w:t xml:space="preserve">       Для визначення очікуваних результатів прийняття запропонованого регуляторного акту, які виникають у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ізних груп суб’єктів, на яких поширюється дія цього акту, наведена таблиця аналізу вигод та витрат.</w:t>
      </w:r>
    </w:p>
    <w:tbl>
      <w:tblPr>
        <w:tblW w:w="1004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0"/>
        <w:gridCol w:w="3679"/>
        <w:gridCol w:w="3339"/>
      </w:tblGrid>
      <w:tr w:rsidR="00780C01" w:rsidRPr="00575ECE" w:rsidTr="00780C01">
        <w:trPr>
          <w:trHeight w:val="413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Сфера впливу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Вигоди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Витрати</w:t>
            </w:r>
          </w:p>
        </w:tc>
      </w:tr>
      <w:tr w:rsidR="00780C01" w:rsidRPr="00575ECE" w:rsidTr="00780C01">
        <w:trPr>
          <w:trHeight w:val="943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територіальної</w:t>
            </w:r>
          </w:p>
          <w:p w:rsidR="00780C01" w:rsidRPr="00575ECE" w:rsidRDefault="00780C01" w:rsidP="00C74964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       громади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Надходження до сільського бюджету, своєчасне фінансування бюджетної сфери, здійснення робіт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благоустрою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Відсутні</w:t>
            </w:r>
          </w:p>
        </w:tc>
      </w:tr>
      <w:tr w:rsidR="00780C01" w:rsidRPr="00575ECE" w:rsidTr="00780C01">
        <w:trPr>
          <w:trHeight w:val="687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 місцевого самоврядування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Чітке встановлення ставок місцевих податкі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 зборів;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Процедура розробки та прийняття регуляторного акта</w:t>
            </w:r>
          </w:p>
        </w:tc>
      </w:tr>
      <w:tr w:rsidR="00780C01" w:rsidRPr="00575ECE" w:rsidTr="00780C01">
        <w:trPr>
          <w:trHeight w:val="413"/>
        </w:trPr>
        <w:tc>
          <w:tcPr>
            <w:tcW w:w="30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Фізичні та юридичні особи</w:t>
            </w:r>
          </w:p>
        </w:tc>
        <w:tc>
          <w:tcPr>
            <w:tcW w:w="36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-6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Прозорість дій місцевих органів влади</w:t>
            </w:r>
          </w:p>
        </w:tc>
        <w:tc>
          <w:tcPr>
            <w:tcW w:w="333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80C01" w:rsidRPr="00575ECE" w:rsidRDefault="00780C01" w:rsidP="00C74964">
            <w:pPr>
              <w:spacing w:after="150" w:line="240" w:lineRule="auto"/>
              <w:ind w:left="-85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Витрати, </w:t>
            </w:r>
            <w:proofErr w:type="gramStart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пов'язан</w:t>
            </w:r>
            <w:proofErr w:type="gramEnd"/>
            <w:r w:rsidRPr="00575E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і зі сплатою податку</w:t>
            </w:r>
          </w:p>
        </w:tc>
      </w:tr>
    </w:tbl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7. Обґрунтування строку дії запропонованого </w:t>
      </w:r>
      <w:proofErr w:type="gramStart"/>
      <w:r w:rsidRPr="00575ECE">
        <w:rPr>
          <w:b/>
          <w:bCs/>
          <w:color w:val="333333"/>
        </w:rPr>
        <w:t>регуляторного</w:t>
      </w:r>
      <w:proofErr w:type="gramEnd"/>
      <w:r w:rsidRPr="00575ECE">
        <w:rPr>
          <w:b/>
          <w:bCs/>
          <w:color w:val="333333"/>
        </w:rPr>
        <w:t xml:space="preserve"> акту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Зазначений проект нормативно-правового акту є загальнообов’язковим до застосування на території населених пунктів об’єднаної територіальної громади та має необмежений термін дії. В разі внесення змін до Податкового кодексу України в частині справляння місцевих податків та зборів </w:t>
      </w:r>
      <w:proofErr w:type="gramStart"/>
      <w:r w:rsidRPr="00575ECE">
        <w:rPr>
          <w:color w:val="333333"/>
        </w:rPr>
        <w:t>в</w:t>
      </w:r>
      <w:proofErr w:type="gramEnd"/>
      <w:r w:rsidRPr="00575ECE">
        <w:rPr>
          <w:color w:val="333333"/>
        </w:rPr>
        <w:t>ідповідні зміни будуть внесені до цього регуляторного акту.</w:t>
      </w:r>
    </w:p>
    <w:p w:rsidR="00E2479E" w:rsidRDefault="00E2479E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lang w:val="uk-UA"/>
        </w:rPr>
      </w:pP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lastRenderedPageBreak/>
        <w:t xml:space="preserve">8. Показники результативності </w:t>
      </w:r>
      <w:proofErr w:type="gramStart"/>
      <w:r w:rsidRPr="00575ECE">
        <w:rPr>
          <w:b/>
          <w:bCs/>
          <w:color w:val="333333"/>
        </w:rPr>
        <w:t>регуляторного</w:t>
      </w:r>
      <w:proofErr w:type="gramEnd"/>
      <w:r w:rsidRPr="00575ECE">
        <w:rPr>
          <w:b/>
          <w:bCs/>
          <w:color w:val="333333"/>
        </w:rPr>
        <w:t xml:space="preserve"> акту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Для визначення результативності цього </w:t>
      </w:r>
      <w:proofErr w:type="gramStart"/>
      <w:r w:rsidRPr="00575ECE">
        <w:rPr>
          <w:color w:val="333333"/>
        </w:rPr>
        <w:t>регуляторного</w:t>
      </w:r>
      <w:proofErr w:type="gramEnd"/>
      <w:r w:rsidRPr="00575ECE">
        <w:rPr>
          <w:color w:val="333333"/>
        </w:rPr>
        <w:t xml:space="preserve"> акту пропонується встановити такі загальні показники: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-</w:t>
      </w:r>
      <w:r w:rsidR="00E2479E">
        <w:rPr>
          <w:color w:val="333333"/>
        </w:rPr>
        <w:t xml:space="preserve"> динаміка кількості платникі</w:t>
      </w:r>
      <w:proofErr w:type="gramStart"/>
      <w:r w:rsidR="00E2479E">
        <w:rPr>
          <w:color w:val="333333"/>
        </w:rPr>
        <w:t>в</w:t>
      </w:r>
      <w:proofErr w:type="gramEnd"/>
      <w:r w:rsidR="00E2479E">
        <w:rPr>
          <w:color w:val="333333"/>
        </w:rPr>
        <w:t xml:space="preserve"> (</w:t>
      </w:r>
      <w:r w:rsidR="00E2479E">
        <w:rPr>
          <w:color w:val="333333"/>
          <w:lang w:val="uk-UA"/>
        </w:rPr>
        <w:t>у</w:t>
      </w:r>
      <w:r w:rsidRPr="00575ECE">
        <w:rPr>
          <w:color w:val="333333"/>
        </w:rPr>
        <w:t xml:space="preserve"> розрізі місцевих податків та зборів);</w:t>
      </w:r>
      <w:r w:rsidRPr="00575ECE">
        <w:rPr>
          <w:color w:val="333333"/>
        </w:rPr>
        <w:br/>
        <w:t>- обсяги надходжень відповідних місцевих податків та зборів.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b/>
          <w:bCs/>
          <w:color w:val="333333"/>
        </w:rPr>
        <w:t xml:space="preserve">9. Заходи, за допомогою яких буде здійснюватися відстеження результативності </w:t>
      </w:r>
      <w:proofErr w:type="gramStart"/>
      <w:r w:rsidRPr="00575ECE">
        <w:rPr>
          <w:b/>
          <w:bCs/>
          <w:color w:val="333333"/>
        </w:rPr>
        <w:t>регуляторного</w:t>
      </w:r>
      <w:proofErr w:type="gramEnd"/>
      <w:r w:rsidRPr="00575ECE">
        <w:rPr>
          <w:b/>
          <w:bCs/>
          <w:color w:val="333333"/>
        </w:rPr>
        <w:t xml:space="preserve"> акту: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575ECE">
        <w:rPr>
          <w:color w:val="333333"/>
        </w:rPr>
        <w:t>Ц</w:t>
      </w:r>
      <w:proofErr w:type="gramEnd"/>
      <w:r w:rsidRPr="00575ECE">
        <w:rPr>
          <w:color w:val="333333"/>
        </w:rPr>
        <w:t>ільова група: фізичні та юридичні особи – платники місцевих податків та зборів.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Базове відстеження результативності регуляторного акту буде проведено </w:t>
      </w:r>
      <w:proofErr w:type="gramStart"/>
      <w:r w:rsidRPr="00575ECE">
        <w:rPr>
          <w:color w:val="333333"/>
        </w:rPr>
        <w:t>п</w:t>
      </w:r>
      <w:proofErr w:type="gramEnd"/>
      <w:r w:rsidRPr="00575ECE">
        <w:rPr>
          <w:color w:val="333333"/>
        </w:rPr>
        <w:t>ісля набрання чинності регуляторного акту.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Повторне відстеження результативності </w:t>
      </w:r>
      <w:proofErr w:type="gramStart"/>
      <w:r w:rsidRPr="00575ECE">
        <w:rPr>
          <w:color w:val="333333"/>
        </w:rPr>
        <w:t>р</w:t>
      </w:r>
      <w:proofErr w:type="gramEnd"/>
      <w:r w:rsidRPr="00575ECE">
        <w:rPr>
          <w:color w:val="333333"/>
        </w:rPr>
        <w:t>ішення сільської ради буде здійснено через рік після набрання  ним чинності.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 xml:space="preserve">Відстеження результативності здійснюватимуться на основі офіційних даних </w:t>
      </w:r>
      <w:r w:rsidR="00EA2915" w:rsidRPr="00575ECE">
        <w:rPr>
          <w:color w:val="333333"/>
          <w:lang w:val="uk-UA"/>
        </w:rPr>
        <w:t>Очаківської</w:t>
      </w:r>
      <w:r w:rsidRPr="00575ECE">
        <w:rPr>
          <w:color w:val="333333"/>
        </w:rPr>
        <w:t xml:space="preserve"> ОДПІ ГУ ДФС у </w:t>
      </w:r>
      <w:r w:rsidR="00EA2915" w:rsidRPr="00575ECE">
        <w:rPr>
          <w:color w:val="333333"/>
          <w:lang w:val="uk-UA"/>
        </w:rPr>
        <w:t>Миколоаївській області</w:t>
      </w:r>
      <w:r w:rsidRPr="00575ECE">
        <w:rPr>
          <w:color w:val="333333"/>
        </w:rPr>
        <w:t xml:space="preserve">, відділу </w:t>
      </w:r>
      <w:r w:rsidR="00EA2915" w:rsidRPr="00575ECE">
        <w:rPr>
          <w:color w:val="333333"/>
          <w:lang w:val="uk-UA"/>
        </w:rPr>
        <w:t xml:space="preserve">бухгалтерського </w:t>
      </w:r>
      <w:proofErr w:type="gramStart"/>
      <w:r w:rsidR="00EA2915" w:rsidRPr="00575ECE">
        <w:rPr>
          <w:color w:val="333333"/>
          <w:lang w:val="uk-UA"/>
        </w:rPr>
        <w:t>обл</w:t>
      </w:r>
      <w:proofErr w:type="gramEnd"/>
      <w:r w:rsidR="00EA2915" w:rsidRPr="00575ECE">
        <w:rPr>
          <w:color w:val="333333"/>
          <w:lang w:val="uk-UA"/>
        </w:rPr>
        <w:t xml:space="preserve">іку та фінансової звітності </w:t>
      </w:r>
      <w:r w:rsidRPr="00575ECE">
        <w:rPr>
          <w:color w:val="333333"/>
        </w:rPr>
        <w:t xml:space="preserve"> </w:t>
      </w:r>
      <w:r w:rsidR="00EA2915" w:rsidRPr="00575ECE">
        <w:rPr>
          <w:color w:val="333333"/>
          <w:lang w:val="uk-UA"/>
        </w:rPr>
        <w:t xml:space="preserve">Прибужанівської </w:t>
      </w:r>
      <w:r w:rsidRPr="00575ECE">
        <w:rPr>
          <w:color w:val="333333"/>
        </w:rPr>
        <w:t xml:space="preserve"> сільської ради</w:t>
      </w:r>
    </w:p>
    <w:p w:rsidR="00780C01" w:rsidRPr="00E2479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</w:p>
    <w:p w:rsidR="00780C01" w:rsidRPr="00575ECE" w:rsidRDefault="00E2479E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lang w:val="uk-UA"/>
        </w:rPr>
      </w:pPr>
      <w:r>
        <w:rPr>
          <w:color w:val="333333"/>
          <w:lang w:val="uk-UA"/>
        </w:rPr>
        <w:tab/>
      </w:r>
      <w:bookmarkStart w:id="0" w:name="_GoBack"/>
      <w:bookmarkEnd w:id="0"/>
      <w:r w:rsidR="00EA2915" w:rsidRPr="00575ECE">
        <w:rPr>
          <w:color w:val="333333"/>
        </w:rPr>
        <w:t xml:space="preserve">Сільський голова </w:t>
      </w:r>
      <w:r w:rsidR="00EA2915" w:rsidRPr="00575ECE">
        <w:rPr>
          <w:color w:val="333333"/>
        </w:rPr>
        <w:tab/>
      </w:r>
      <w:r w:rsidR="00EA2915" w:rsidRPr="00575ECE">
        <w:rPr>
          <w:color w:val="333333"/>
        </w:rPr>
        <w:tab/>
      </w:r>
      <w:r w:rsidR="00EA2915" w:rsidRPr="00575ECE">
        <w:rPr>
          <w:color w:val="333333"/>
        </w:rPr>
        <w:tab/>
      </w:r>
      <w:r w:rsidR="00EA2915" w:rsidRPr="00575ECE">
        <w:rPr>
          <w:color w:val="333333"/>
        </w:rPr>
        <w:tab/>
      </w:r>
      <w:r w:rsidR="00EA2915" w:rsidRPr="00575ECE">
        <w:rPr>
          <w:color w:val="333333"/>
          <w:lang w:val="uk-UA"/>
        </w:rPr>
        <w:t xml:space="preserve">                                 </w:t>
      </w:r>
      <w:r w:rsidR="00EA2915" w:rsidRPr="00575ECE">
        <w:rPr>
          <w:color w:val="333333"/>
        </w:rPr>
        <w:t>О.А.Тараненко</w:t>
      </w:r>
    </w:p>
    <w:p w:rsidR="00780C01" w:rsidRPr="00575ECE" w:rsidRDefault="00780C01" w:rsidP="00C749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575ECE">
        <w:rPr>
          <w:color w:val="333333"/>
        </w:rPr>
        <w:t> </w:t>
      </w:r>
    </w:p>
    <w:p w:rsidR="00780C01" w:rsidRPr="00575ECE" w:rsidRDefault="00780C01" w:rsidP="00D36AC1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sectPr w:rsidR="00780C01" w:rsidRPr="00575ECE" w:rsidSect="00970A5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97"/>
    <w:rsid w:val="00006BD7"/>
    <w:rsid w:val="00071FFD"/>
    <w:rsid w:val="000E4CBF"/>
    <w:rsid w:val="002D5F63"/>
    <w:rsid w:val="003D4C79"/>
    <w:rsid w:val="003F1417"/>
    <w:rsid w:val="0044069F"/>
    <w:rsid w:val="004A27CC"/>
    <w:rsid w:val="00557A16"/>
    <w:rsid w:val="00575ECE"/>
    <w:rsid w:val="00644C3E"/>
    <w:rsid w:val="00780C01"/>
    <w:rsid w:val="007966FC"/>
    <w:rsid w:val="008150CB"/>
    <w:rsid w:val="008228EF"/>
    <w:rsid w:val="008504B8"/>
    <w:rsid w:val="00874B67"/>
    <w:rsid w:val="009309FE"/>
    <w:rsid w:val="00970A52"/>
    <w:rsid w:val="009C5D4C"/>
    <w:rsid w:val="00A42171"/>
    <w:rsid w:val="00A62531"/>
    <w:rsid w:val="00B70749"/>
    <w:rsid w:val="00C74964"/>
    <w:rsid w:val="00CF7297"/>
    <w:rsid w:val="00D36AC1"/>
    <w:rsid w:val="00D42FE7"/>
    <w:rsid w:val="00E04299"/>
    <w:rsid w:val="00E2479E"/>
    <w:rsid w:val="00EA2915"/>
    <w:rsid w:val="00EC6204"/>
    <w:rsid w:val="00F85E70"/>
    <w:rsid w:val="00FB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57A16"/>
    <w:rPr>
      <w:i/>
      <w:iCs/>
    </w:rPr>
  </w:style>
  <w:style w:type="character" w:styleId="a5">
    <w:name w:val="Hyperlink"/>
    <w:basedOn w:val="a0"/>
    <w:uiPriority w:val="99"/>
    <w:semiHidden/>
    <w:unhideWhenUsed/>
    <w:rsid w:val="00780C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7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57A16"/>
    <w:rPr>
      <w:i/>
      <w:iCs/>
    </w:rPr>
  </w:style>
  <w:style w:type="character" w:styleId="a5">
    <w:name w:val="Hyperlink"/>
    <w:basedOn w:val="a0"/>
    <w:uiPriority w:val="99"/>
    <w:semiHidden/>
    <w:unhideWhenUsed/>
    <w:rsid w:val="00780C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3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0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8E1-E1FA-4084-AAA0-91585EA2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5027</Words>
  <Characters>28654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2018-05-02T07:14:00Z</cp:lastPrinted>
  <dcterms:created xsi:type="dcterms:W3CDTF">2018-04-23T10:58:00Z</dcterms:created>
  <dcterms:modified xsi:type="dcterms:W3CDTF">2018-06-14T13:29:00Z</dcterms:modified>
</cp:coreProperties>
</file>