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52FE9">
        <w:rPr>
          <w:sz w:val="28"/>
          <w:szCs w:val="28"/>
          <w:lang w:val="uk-UA"/>
        </w:rPr>
        <w:t>18</w:t>
      </w:r>
      <w:r w:rsidR="00264DB9" w:rsidRPr="00652FE9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652FE9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15314A">
        <w:rPr>
          <w:sz w:val="28"/>
          <w:szCs w:val="28"/>
          <w:lang w:val="uk-UA"/>
        </w:rPr>
        <w:t>39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652FE9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52FE9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0E16B9" w:rsidRPr="000E16B9" w:rsidRDefault="00634A70" w:rsidP="000E16B9">
      <w:pPr>
        <w:pStyle w:val="a3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 xml:space="preserve">за адресою: </w:t>
      </w:r>
      <w:r w:rsidR="000E16B9" w:rsidRPr="000E16B9">
        <w:rPr>
          <w:sz w:val="24"/>
          <w:szCs w:val="24"/>
          <w:lang w:val="uk-UA"/>
        </w:rPr>
        <w:t xml:space="preserve">вул. Центральна, буд. 146а с. </w:t>
      </w:r>
      <w:proofErr w:type="spellStart"/>
      <w:r w:rsidR="000E16B9" w:rsidRPr="000E16B9">
        <w:rPr>
          <w:sz w:val="24"/>
          <w:szCs w:val="24"/>
          <w:lang w:val="uk-UA"/>
        </w:rPr>
        <w:t>Яструбинове</w:t>
      </w:r>
      <w:proofErr w:type="spellEnd"/>
      <w:r w:rsidR="000E16B9" w:rsidRPr="000E16B9">
        <w:rPr>
          <w:sz w:val="24"/>
          <w:szCs w:val="24"/>
          <w:lang w:val="uk-UA"/>
        </w:rPr>
        <w:t xml:space="preserve"> Вознесенського району Миколаївської області (дитячий садок) – площею 0,5553 га (кадастровий номер 4822084500:20:013:0010).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DA94A02"/>
    <w:multiLevelType w:val="hybridMultilevel"/>
    <w:tmpl w:val="5D54F762"/>
    <w:lvl w:ilvl="0" w:tplc="9BDCDE1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0E16B9"/>
    <w:rsid w:val="00101D8D"/>
    <w:rsid w:val="001070E8"/>
    <w:rsid w:val="0015037E"/>
    <w:rsid w:val="0015314A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2020-02-12T09:28:00Z</cp:lastPrinted>
  <dcterms:created xsi:type="dcterms:W3CDTF">2019-04-15T07:23:00Z</dcterms:created>
  <dcterms:modified xsi:type="dcterms:W3CDTF">2020-02-14T12:58:00Z</dcterms:modified>
</cp:coreProperties>
</file>