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0FCF3" w14:textId="77777777" w:rsidR="007616AB" w:rsidRPr="00E00B6D" w:rsidRDefault="007616AB" w:rsidP="00151E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00B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Заява</w:t>
      </w:r>
    </w:p>
    <w:p w14:paraId="5134C1E1" w14:textId="77777777" w:rsidR="007616AB" w:rsidRPr="00EE308C" w:rsidRDefault="007616AB" w:rsidP="00151E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0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визначення обсягу стратегічної екологічної оцінки</w:t>
      </w:r>
    </w:p>
    <w:p w14:paraId="6FFEB924" w14:textId="48A7014D" w:rsidR="007616AB" w:rsidRPr="00E00B6D" w:rsidRDefault="00545623" w:rsidP="00151E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uk-UA" w:eastAsia="ru-RU"/>
        </w:rPr>
      </w:pPr>
      <w:r w:rsidRPr="00EE30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Схеми планування</w:t>
      </w:r>
      <w:r w:rsidR="00FF5604" w:rsidRPr="00EE30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FF5604" w:rsidRPr="00EE30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Прибужанівської</w:t>
      </w:r>
      <w:proofErr w:type="spellEnd"/>
      <w:r w:rsidR="007616AB" w:rsidRPr="00EE30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711EC" w:rsidRPr="00FF56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ОТГ</w:t>
      </w:r>
      <w:r w:rsidR="00EC7461" w:rsidRPr="00FF56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FF5604" w:rsidRPr="00FF56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Миколаївської </w:t>
      </w:r>
      <w:r w:rsidR="00EC7461" w:rsidRPr="00FF56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області</w:t>
      </w:r>
    </w:p>
    <w:p w14:paraId="1A118335" w14:textId="77777777" w:rsidR="007616AB" w:rsidRPr="00E00B6D" w:rsidRDefault="007616AB" w:rsidP="00151E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E335BD" w14:textId="77777777" w:rsidR="007616AB" w:rsidRPr="00E00B6D" w:rsidRDefault="007616AB" w:rsidP="00151E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14:paraId="239150F4" w14:textId="77777777" w:rsidR="007616AB" w:rsidRPr="00E00B6D" w:rsidRDefault="00690980" w:rsidP="00151E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00B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1) </w:t>
      </w:r>
      <w:r w:rsidR="007616AB" w:rsidRPr="00E00B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Замовник СЕО та виконавець</w:t>
      </w:r>
    </w:p>
    <w:p w14:paraId="18DB6A73" w14:textId="77777777" w:rsidR="007616AB" w:rsidRPr="00422E33" w:rsidRDefault="007616AB" w:rsidP="00422E3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Замовником проекту </w:t>
      </w:r>
      <w:r w:rsidR="00EC7461" w:rsidRPr="00422E3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є </w:t>
      </w:r>
      <w:proofErr w:type="spellStart"/>
      <w:r w:rsidR="00EE308C">
        <w:rPr>
          <w:rFonts w:ascii="Times New Roman" w:hAnsi="Times New Roman"/>
          <w:bCs/>
          <w:sz w:val="24"/>
          <w:szCs w:val="24"/>
          <w:lang w:val="uk-UA" w:eastAsia="ru-RU"/>
        </w:rPr>
        <w:t>Глобал</w:t>
      </w:r>
      <w:proofErr w:type="spellEnd"/>
      <w:r w:rsidR="00EE308C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EE308C">
        <w:rPr>
          <w:rFonts w:ascii="Times New Roman" w:hAnsi="Times New Roman"/>
          <w:bCs/>
          <w:sz w:val="24"/>
          <w:szCs w:val="24"/>
          <w:lang w:val="uk-UA" w:eastAsia="ru-RU"/>
        </w:rPr>
        <w:t>Комьюнітіз</w:t>
      </w:r>
      <w:proofErr w:type="spellEnd"/>
      <w:r w:rsidR="00EE308C">
        <w:rPr>
          <w:rFonts w:ascii="Times New Roman" w:hAnsi="Times New Roman"/>
          <w:sz w:val="24"/>
          <w:szCs w:val="24"/>
          <w:lang w:val="uk-UA"/>
        </w:rPr>
        <w:t>.</w:t>
      </w:r>
    </w:p>
    <w:p w14:paraId="348F6E08" w14:textId="77777777" w:rsidR="007616AB" w:rsidRPr="00E00B6D" w:rsidRDefault="007616AB" w:rsidP="00151E29">
      <w:pPr>
        <w:spacing w:after="4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00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Виконавець – </w:t>
      </w:r>
      <w:r w:rsidR="00803344" w:rsidRPr="00E00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«УКРАЇНСЬКИЙ НАУКОВО-ПРОЕКТНИЙ ІНСТИТУТ ЦИВІЛЬНОГО БУДІВНИЦТВА».</w:t>
      </w:r>
    </w:p>
    <w:p w14:paraId="7D7D01D8" w14:textId="77777777" w:rsidR="007616AB" w:rsidRPr="00E00B6D" w:rsidRDefault="007616AB" w:rsidP="00151E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FF"/>
          <w:sz w:val="24"/>
          <w:szCs w:val="24"/>
          <w:lang w:val="uk-UA" w:eastAsia="ru-RU"/>
        </w:rPr>
      </w:pPr>
    </w:p>
    <w:p w14:paraId="3FBCAC9C" w14:textId="77777777" w:rsidR="007616AB" w:rsidRPr="00E00B6D" w:rsidRDefault="00690980" w:rsidP="00151E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00B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2) </w:t>
      </w:r>
      <w:r w:rsidR="007616AB" w:rsidRPr="00E00B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Вид та основні цілі документу державного планування</w:t>
      </w:r>
    </w:p>
    <w:p w14:paraId="4436C14D" w14:textId="77777777" w:rsidR="00F92DC9" w:rsidRPr="00F92DC9" w:rsidRDefault="00F92DC9" w:rsidP="00F92DC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Hlk29630964"/>
      <w:bookmarkStart w:id="1" w:name="OLE_LINK4"/>
      <w:bookmarkStart w:id="2" w:name="OLE_LINK5"/>
      <w:bookmarkStart w:id="3" w:name="OLE_LINK6"/>
      <w:r w:rsidRPr="00F92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Схема планування території громади </w:t>
      </w:r>
      <w:bookmarkEnd w:id="0"/>
      <w:r w:rsidRPr="00F92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 містобудівною документацією місцевого рівня, яка призначена для обґрунтування довгострокової стратегії планування, забудови та іншого використання території, на якій реалізуються повноваження </w:t>
      </w:r>
      <w:r w:rsidR="00FF5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Прибужанівської </w:t>
      </w:r>
      <w:r w:rsidRPr="00FF5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</w:t>
      </w:r>
      <w:r w:rsidRPr="00F92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ради. Схема планування території визначає основні принципи і напрямки планувальної організації та функціонального призначення території, формування системи громадського обслуговування населення, організації інженерно-транспортної інфраструктури, інженерної підготовки і благоустрою, захисту території від небезпечних природних і техногенних процесів, охорони навколишнього природного середовища, </w:t>
      </w:r>
      <w:r w:rsidRPr="00F141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охорони та збереження нерухомих об’єктів культурної спадщини та пам’яток археології, традиційного характеру середовища історичних населених пунктів.</w:t>
      </w:r>
    </w:p>
    <w:p w14:paraId="03A27EA5" w14:textId="77777777" w:rsidR="00F92DC9" w:rsidRPr="00F92DC9" w:rsidRDefault="00F92DC9" w:rsidP="00F92DC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92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Завданнями схеми планування території громади є:</w:t>
      </w:r>
    </w:p>
    <w:p w14:paraId="0BE120FD" w14:textId="77777777" w:rsidR="00F92DC9" w:rsidRPr="008F4091" w:rsidRDefault="00F92DC9" w:rsidP="008F4091">
      <w:pPr>
        <w:pStyle w:val="a4"/>
        <w:numPr>
          <w:ilvl w:val="0"/>
          <w:numId w:val="11"/>
        </w:numPr>
        <w:tabs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0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обґрунтування майбутніх потреб і визначення переважних напрямів використання територій;</w:t>
      </w:r>
    </w:p>
    <w:p w14:paraId="56BB415B" w14:textId="77777777" w:rsidR="00F92DC9" w:rsidRPr="008F4091" w:rsidRDefault="00F92DC9" w:rsidP="008F4091">
      <w:pPr>
        <w:pStyle w:val="a4"/>
        <w:numPr>
          <w:ilvl w:val="0"/>
          <w:numId w:val="11"/>
        </w:numPr>
        <w:tabs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0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урахування державних, громадських і приватних інтересів під час планування, забудови та іншого використання територій з дотриманням вимог містобудівного, санітарного, екологічного, природоохоронного, протипожежного та іншого законодавства;</w:t>
      </w:r>
    </w:p>
    <w:p w14:paraId="68C729C8" w14:textId="77777777" w:rsidR="00F92DC9" w:rsidRPr="008F4091" w:rsidRDefault="00F92DC9" w:rsidP="008F4091">
      <w:pPr>
        <w:pStyle w:val="a4"/>
        <w:numPr>
          <w:ilvl w:val="0"/>
          <w:numId w:val="11"/>
        </w:numPr>
        <w:tabs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0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обґрунтування та визначення територій для містобудівних потреб;</w:t>
      </w:r>
    </w:p>
    <w:p w14:paraId="3B9AC2CF" w14:textId="77777777" w:rsidR="00F92DC9" w:rsidRPr="008F4091" w:rsidRDefault="00F92DC9" w:rsidP="008F4091">
      <w:pPr>
        <w:pStyle w:val="a4"/>
        <w:numPr>
          <w:ilvl w:val="0"/>
          <w:numId w:val="11"/>
        </w:numPr>
        <w:tabs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0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раціонального розселення та визначення напрямів сталого розвитку населених пунктів;</w:t>
      </w:r>
    </w:p>
    <w:p w14:paraId="3B306148" w14:textId="77777777" w:rsidR="00F92DC9" w:rsidRPr="008F4091" w:rsidRDefault="00F92DC9" w:rsidP="008F4091">
      <w:pPr>
        <w:pStyle w:val="a4"/>
        <w:numPr>
          <w:ilvl w:val="0"/>
          <w:numId w:val="11"/>
        </w:numPr>
        <w:tabs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0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визначення територій, що мають особливу екологічну, рекреаційно-оздоровчу, наукову, естетичну, історико-культурну цінність, встановлення передбачених законодавством обмежень на їх планування, забудову та інше використання;</w:t>
      </w:r>
    </w:p>
    <w:p w14:paraId="4A10D814" w14:textId="77777777" w:rsidR="00F92DC9" w:rsidRPr="008F4091" w:rsidRDefault="00F92DC9" w:rsidP="008F4091">
      <w:pPr>
        <w:pStyle w:val="a4"/>
        <w:numPr>
          <w:ilvl w:val="0"/>
          <w:numId w:val="11"/>
        </w:numPr>
        <w:tabs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0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розроблення містобудівних заходів щодо охорони довкілля та раціонального використання природних ресурсів;</w:t>
      </w:r>
    </w:p>
    <w:p w14:paraId="033E57B4" w14:textId="77777777" w:rsidR="00F92DC9" w:rsidRPr="008F4091" w:rsidRDefault="00F92DC9" w:rsidP="008F4091">
      <w:pPr>
        <w:pStyle w:val="a4"/>
        <w:numPr>
          <w:ilvl w:val="0"/>
          <w:numId w:val="11"/>
        </w:numPr>
        <w:tabs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0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розроблення заходів щодо пожежної та техногенної безпеки.</w:t>
      </w:r>
    </w:p>
    <w:p w14:paraId="09B73F1A" w14:textId="77777777" w:rsidR="00F92DC9" w:rsidRPr="00F92DC9" w:rsidRDefault="00F92DC9" w:rsidP="00F92DC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92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 розробленні схеми планування території враховується Генеральна схема планування території України, </w:t>
      </w:r>
      <w:r w:rsidRPr="00FF5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Схема планування території </w:t>
      </w:r>
      <w:r w:rsidR="00FF5604" w:rsidRPr="00FF5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Миколаївської</w:t>
      </w:r>
      <w:r w:rsidR="002C57DD" w:rsidRPr="00FF5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F5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області,</w:t>
      </w:r>
      <w:r w:rsidRPr="00F92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стратегії та програми економічного, демографічного, екологічного, соціального розвитку відповідної території, програми розвитку </w:t>
      </w:r>
      <w:r w:rsidRPr="00F141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інженерно-транспортної інфраструктури, охорони навколишнього природного середовища, охорони та збереження нерухомих </w:t>
      </w:r>
      <w:r w:rsidR="00F141BB" w:rsidRPr="00F141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об’єктів</w:t>
      </w:r>
      <w:r w:rsidRPr="00F141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культурної спадщини та </w:t>
      </w:r>
      <w:r w:rsidR="00F141BB" w:rsidRPr="00F141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пам’яток</w:t>
      </w:r>
      <w:r w:rsidRPr="00F141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археології,</w:t>
      </w:r>
      <w:r w:rsidRPr="00F92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чинна містобудівна документація на місцевому рівні та проектна документація, інформація містобудівного, земельного та інших кадастрів, заяви щодо забудови та іншого використання території.</w:t>
      </w:r>
    </w:p>
    <w:p w14:paraId="55FC9074" w14:textId="77777777" w:rsidR="00F92DC9" w:rsidRPr="00E00B6D" w:rsidRDefault="00F92DC9" w:rsidP="00F92DC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53E91F7" w14:textId="77777777" w:rsidR="00A72AC8" w:rsidRPr="00E00B6D" w:rsidRDefault="00690980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3) </w:t>
      </w:r>
      <w:r w:rsidR="00A72AC8" w:rsidRPr="00E00B6D">
        <w:rPr>
          <w:rFonts w:ascii="Times New Roman" w:hAnsi="Times New Roman" w:cs="Times New Roman"/>
          <w:b/>
          <w:i/>
          <w:sz w:val="24"/>
          <w:szCs w:val="24"/>
          <w:lang w:val="uk-UA"/>
        </w:rPr>
        <w:t>Визначення документом державного планування умов для здійснення діяльності на реалізацію видів діяльності та об’єктів</w:t>
      </w:r>
      <w:r w:rsidRPr="00E00B6D">
        <w:rPr>
          <w:rFonts w:ascii="Times New Roman" w:hAnsi="Times New Roman" w:cs="Times New Roman"/>
          <w:b/>
          <w:i/>
          <w:sz w:val="24"/>
          <w:szCs w:val="24"/>
          <w:lang w:val="uk-UA"/>
        </w:rPr>
        <w:t>, щодо яких законодавством передбачено здійснення процедури оцінки впливу на довкілля</w:t>
      </w:r>
    </w:p>
    <w:bookmarkEnd w:id="1"/>
    <w:bookmarkEnd w:id="2"/>
    <w:bookmarkEnd w:id="3"/>
    <w:p w14:paraId="5C72877F" w14:textId="48A7453C" w:rsidR="00FB5A4E" w:rsidRPr="00FB5A4E" w:rsidRDefault="00F92DC9" w:rsidP="00FB5A4E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2DC9">
        <w:rPr>
          <w:rFonts w:ascii="Times New Roman" w:hAnsi="Times New Roman" w:cs="Times New Roman"/>
          <w:sz w:val="24"/>
          <w:szCs w:val="24"/>
          <w:lang w:val="uk-UA"/>
        </w:rPr>
        <w:t>Умови для реалізації видів діяльності та об’єктів, які матимуть значний вплив на довкілля, визначаються Схемою планування території відповідно до Закону України «Про регулювання містобудівної діяльності». Згідно зі ст.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92DC9">
        <w:rPr>
          <w:rFonts w:ascii="Times New Roman" w:hAnsi="Times New Roman" w:cs="Times New Roman"/>
          <w:sz w:val="24"/>
          <w:szCs w:val="24"/>
          <w:lang w:val="uk-UA"/>
        </w:rPr>
        <w:t xml:space="preserve">24 регулюється вибір, надання </w:t>
      </w:r>
      <w:r w:rsidRPr="00F92DC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земельних ділянок, зміна функціонального та цільового призначення територій. </w:t>
      </w:r>
      <w:r w:rsidR="00FB5A4E" w:rsidRPr="00FB5A4E">
        <w:rPr>
          <w:rFonts w:ascii="Times New Roman" w:hAnsi="Times New Roman" w:cs="Times New Roman"/>
          <w:sz w:val="24"/>
          <w:szCs w:val="24"/>
          <w:lang w:val="uk-UA"/>
        </w:rPr>
        <w:t xml:space="preserve">Також на підставі Схеми планування території будуть розроблені </w:t>
      </w:r>
      <w:r w:rsidR="00FB5A4E" w:rsidRPr="00FB5A4E">
        <w:rPr>
          <w:rFonts w:ascii="Times New Roman" w:hAnsi="Times New Roman" w:cs="Times New Roman"/>
          <w:sz w:val="24"/>
          <w:szCs w:val="24"/>
        </w:rPr>
        <w:t xml:space="preserve">за межами </w:t>
      </w:r>
      <w:proofErr w:type="spellStart"/>
      <w:r w:rsidR="00FB5A4E" w:rsidRPr="00FB5A4E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="00FB5A4E" w:rsidRPr="00FB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A4E" w:rsidRPr="00FB5A4E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="00FB5A4E" w:rsidRPr="00FB5A4E">
        <w:rPr>
          <w:rFonts w:ascii="Times New Roman" w:hAnsi="Times New Roman" w:cs="Times New Roman"/>
          <w:sz w:val="24"/>
          <w:szCs w:val="24"/>
        </w:rPr>
        <w:t xml:space="preserve"> 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FB5A4E" w:rsidRPr="00FB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A4E" w:rsidRPr="00FB5A4E">
        <w:rPr>
          <w:rFonts w:ascii="Times New Roman" w:hAnsi="Times New Roman" w:cs="Times New Roman"/>
          <w:sz w:val="24"/>
          <w:szCs w:val="24"/>
        </w:rPr>
        <w:t>детальні</w:t>
      </w:r>
      <w:proofErr w:type="spellEnd"/>
      <w:r w:rsidR="00FB5A4E" w:rsidRPr="00FB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A4E" w:rsidRPr="00FB5A4E">
        <w:rPr>
          <w:rFonts w:ascii="Times New Roman" w:hAnsi="Times New Roman" w:cs="Times New Roman"/>
          <w:sz w:val="24"/>
          <w:szCs w:val="24"/>
        </w:rPr>
        <w:t>плани</w:t>
      </w:r>
      <w:proofErr w:type="spellEnd"/>
      <w:r w:rsidR="00FB5A4E" w:rsidRPr="00FB5A4E">
        <w:rPr>
          <w:rFonts w:ascii="Times New Roman" w:hAnsi="Times New Roman" w:cs="Times New Roman"/>
          <w:sz w:val="24"/>
          <w:szCs w:val="24"/>
        </w:rPr>
        <w:t xml:space="preserve">, а в межах 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FB5A4E" w:rsidRPr="00FB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A4E" w:rsidRPr="00FB5A4E">
        <w:rPr>
          <w:rFonts w:ascii="Times New Roman" w:hAnsi="Times New Roman" w:cs="Times New Roman"/>
          <w:sz w:val="24"/>
          <w:szCs w:val="24"/>
        </w:rPr>
        <w:t>генеральні</w:t>
      </w:r>
      <w:proofErr w:type="spellEnd"/>
      <w:r w:rsidR="00FB5A4E" w:rsidRPr="00FB5A4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B5A4E" w:rsidRPr="00FB5A4E">
        <w:rPr>
          <w:rFonts w:ascii="Times New Roman" w:hAnsi="Times New Roman" w:cs="Times New Roman"/>
          <w:sz w:val="24"/>
          <w:szCs w:val="24"/>
        </w:rPr>
        <w:t>детальні</w:t>
      </w:r>
      <w:proofErr w:type="spellEnd"/>
      <w:r w:rsidR="00FB5A4E" w:rsidRPr="00FB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A4E" w:rsidRPr="00FB5A4E">
        <w:rPr>
          <w:rFonts w:ascii="Times New Roman" w:hAnsi="Times New Roman" w:cs="Times New Roman"/>
          <w:sz w:val="24"/>
          <w:szCs w:val="24"/>
        </w:rPr>
        <w:t>плани</w:t>
      </w:r>
      <w:proofErr w:type="spellEnd"/>
      <w:r w:rsidR="00FB5A4E" w:rsidRPr="00FB5A4E">
        <w:rPr>
          <w:rFonts w:ascii="Times New Roman" w:hAnsi="Times New Roman" w:cs="Times New Roman"/>
          <w:sz w:val="24"/>
          <w:szCs w:val="24"/>
          <w:lang w:val="uk-UA"/>
        </w:rPr>
        <w:t>, які згідно зі ст. 19, зокрема, визначають:</w:t>
      </w:r>
    </w:p>
    <w:p w14:paraId="30C4FA04" w14:textId="77777777" w:rsidR="00F92DC9" w:rsidRPr="001D28D1" w:rsidRDefault="00F92DC9" w:rsidP="001D28D1">
      <w:pPr>
        <w:pStyle w:val="a4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функціональне призначення, режим та параметри забудови однієї чи декількох земельних ділянок, розподіл територій згідно з будівельними нормами, державними стандартами і правилами;</w:t>
      </w:r>
    </w:p>
    <w:p w14:paraId="0FB82DFE" w14:textId="77777777" w:rsidR="00F92DC9" w:rsidRPr="001D28D1" w:rsidRDefault="00F92DC9" w:rsidP="001D28D1">
      <w:pPr>
        <w:pStyle w:val="a4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містобудівні умови та обмеження;</w:t>
      </w:r>
    </w:p>
    <w:p w14:paraId="27C92824" w14:textId="77777777" w:rsidR="00F92DC9" w:rsidRPr="001D28D1" w:rsidRDefault="00F92DC9" w:rsidP="001D28D1">
      <w:pPr>
        <w:pStyle w:val="a4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потребу в підприємствах і закладах обслуговування населення, місце їх розташування;</w:t>
      </w:r>
    </w:p>
    <w:p w14:paraId="6B15AFC3" w14:textId="77777777" w:rsidR="00F92DC9" w:rsidRPr="001D28D1" w:rsidRDefault="00F92DC9" w:rsidP="001D28D1">
      <w:pPr>
        <w:pStyle w:val="a4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доцільність, обсяги, послідовність реконструкції забудови;</w:t>
      </w:r>
    </w:p>
    <w:p w14:paraId="3A04BF01" w14:textId="77777777" w:rsidR="00F92DC9" w:rsidRPr="001D28D1" w:rsidRDefault="00F92DC9" w:rsidP="001D28D1">
      <w:pPr>
        <w:pStyle w:val="a4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черговість та обсяги інженерної підготовки території;</w:t>
      </w:r>
    </w:p>
    <w:p w14:paraId="63206A3E" w14:textId="77777777" w:rsidR="00F92DC9" w:rsidRPr="001D28D1" w:rsidRDefault="00F92DC9" w:rsidP="001D28D1">
      <w:pPr>
        <w:pStyle w:val="a4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систему інженерних мереж;</w:t>
      </w:r>
    </w:p>
    <w:p w14:paraId="6D98C767" w14:textId="77777777" w:rsidR="00F92DC9" w:rsidRPr="001D28D1" w:rsidRDefault="00F92DC9" w:rsidP="001D28D1">
      <w:pPr>
        <w:pStyle w:val="a4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порядок організації транспортного і пішохідного руху;</w:t>
      </w:r>
    </w:p>
    <w:p w14:paraId="1926B66D" w14:textId="77777777" w:rsidR="00F92DC9" w:rsidRPr="001D28D1" w:rsidRDefault="00F92DC9" w:rsidP="001D28D1">
      <w:pPr>
        <w:pStyle w:val="a4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 xml:space="preserve">порядок комплексного благоустрою та озеленення, потребу у формуванні </w:t>
      </w:r>
      <w:proofErr w:type="spellStart"/>
      <w:r w:rsidRPr="001D28D1">
        <w:rPr>
          <w:rFonts w:ascii="Times New Roman" w:hAnsi="Times New Roman" w:cs="Times New Roman"/>
          <w:sz w:val="24"/>
          <w:szCs w:val="24"/>
          <w:lang w:val="uk-UA"/>
        </w:rPr>
        <w:t>екомережі</w:t>
      </w:r>
      <w:proofErr w:type="spellEnd"/>
      <w:r w:rsidRPr="001D28D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7D313EBF" w14:textId="77777777" w:rsidR="00F92DC9" w:rsidRPr="001D28D1" w:rsidRDefault="00F92DC9" w:rsidP="001D28D1">
      <w:pPr>
        <w:pStyle w:val="a4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межі прибережних захисних смуг і пляжних зон водних об’єктів.</w:t>
      </w:r>
    </w:p>
    <w:p w14:paraId="65412CB5" w14:textId="5417D96D" w:rsidR="00F92DC9" w:rsidRPr="00F92DC9" w:rsidRDefault="00F92DC9" w:rsidP="00F92DC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2DC9">
        <w:rPr>
          <w:rFonts w:ascii="Times New Roman" w:hAnsi="Times New Roman" w:cs="Times New Roman"/>
          <w:sz w:val="24"/>
          <w:szCs w:val="24"/>
          <w:lang w:val="uk-UA"/>
        </w:rPr>
        <w:t>Містобудівні умови та обмеження згідно зі ст.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92DC9">
        <w:rPr>
          <w:rFonts w:ascii="Times New Roman" w:hAnsi="Times New Roman" w:cs="Times New Roman"/>
          <w:sz w:val="24"/>
          <w:szCs w:val="24"/>
          <w:lang w:val="uk-UA"/>
        </w:rPr>
        <w:t>29 включають, зокрема:</w:t>
      </w:r>
    </w:p>
    <w:p w14:paraId="105CF765" w14:textId="77777777" w:rsidR="00F92DC9" w:rsidRPr="001D28D1" w:rsidRDefault="00F92DC9" w:rsidP="001D28D1">
      <w:pPr>
        <w:pStyle w:val="a4"/>
        <w:numPr>
          <w:ilvl w:val="0"/>
          <w:numId w:val="13"/>
        </w:numPr>
        <w:tabs>
          <w:tab w:val="left" w:pos="851"/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відповідність цільового та функціонального призначення земельної ділянки містобудівній документації на місцевому рівні;</w:t>
      </w:r>
    </w:p>
    <w:p w14:paraId="598B96C9" w14:textId="77777777" w:rsidR="00F92DC9" w:rsidRPr="001D28D1" w:rsidRDefault="00F92DC9" w:rsidP="00A94F97">
      <w:pPr>
        <w:pStyle w:val="a4"/>
        <w:numPr>
          <w:ilvl w:val="0"/>
          <w:numId w:val="13"/>
        </w:numPr>
        <w:tabs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планувальні обмеження (охоронні зони пам’яток культурної спадщини, межі історичних ареалів, зони регулювання забудови, зони охоронюваного ландшафту, зони охорони археологічного культурного шару, в межах яких діє спеціальний режим їх використання, охоронні зони об’єктів природно-заповідного фонду, прибережні захисні смуги, зони санітарної охорони);</w:t>
      </w:r>
    </w:p>
    <w:p w14:paraId="5B248698" w14:textId="77777777" w:rsidR="00F92DC9" w:rsidRPr="001D28D1" w:rsidRDefault="00F92DC9" w:rsidP="001D28D1">
      <w:pPr>
        <w:pStyle w:val="a4"/>
        <w:numPr>
          <w:ilvl w:val="0"/>
          <w:numId w:val="13"/>
        </w:numPr>
        <w:tabs>
          <w:tab w:val="left" w:pos="851"/>
          <w:tab w:val="left" w:pos="1122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8D1">
        <w:rPr>
          <w:rFonts w:ascii="Times New Roman" w:hAnsi="Times New Roman" w:cs="Times New Roman"/>
          <w:sz w:val="24"/>
          <w:szCs w:val="24"/>
          <w:lang w:val="uk-UA"/>
        </w:rPr>
        <w:t>охоронні зони об’єктів транспорту, зв’язку, інженерних комунікацій, відстані від об’єкта, що проектується, до існуючих інженерних мереж.</w:t>
      </w:r>
    </w:p>
    <w:p w14:paraId="234C4C70" w14:textId="77777777" w:rsidR="007616AB" w:rsidRDefault="00F92DC9" w:rsidP="00F92DC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2DC9">
        <w:rPr>
          <w:rFonts w:ascii="Times New Roman" w:hAnsi="Times New Roman" w:cs="Times New Roman"/>
          <w:sz w:val="24"/>
          <w:szCs w:val="24"/>
          <w:lang w:val="uk-UA"/>
        </w:rPr>
        <w:t>Для об’єктів господарської діяльності важливим є визначення класу небезпеки та встановлення розміру санітарно-захисної зони.</w:t>
      </w:r>
    </w:p>
    <w:p w14:paraId="411D28A6" w14:textId="77777777" w:rsidR="00F92DC9" w:rsidRPr="00E00B6D" w:rsidRDefault="00F92DC9" w:rsidP="00F92DC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uk-UA"/>
        </w:rPr>
      </w:pPr>
    </w:p>
    <w:p w14:paraId="16AD387B" w14:textId="77777777" w:rsidR="00DD2B47" w:rsidRPr="00E00B6D" w:rsidRDefault="00DD2B47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  <w:t>4) Ймовірні наслідки</w:t>
      </w:r>
    </w:p>
    <w:p w14:paraId="0E5C87CD" w14:textId="77777777" w:rsidR="00DD2B47" w:rsidRPr="00E00B6D" w:rsidRDefault="00DD2B47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uk-UA"/>
        </w:rPr>
      </w:pPr>
      <w:r w:rsidRPr="00E00B6D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uk-UA"/>
        </w:rPr>
        <w:t>а) для довкілля, у тому числі для здоров’я населення:</w:t>
      </w:r>
    </w:p>
    <w:p w14:paraId="0ED27108" w14:textId="5221940D" w:rsidR="00627134" w:rsidRPr="00E00B6D" w:rsidRDefault="00627134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Виконання стратегічної екологічної оцінки документа державного планування передбачає аналіз та оцінку ймовірних наслідків реалізації проектних рішень на окремі складові навколишнього природного середовища 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ґрунт, атмосферне повітря, водні ресурси, стан фауни, флори, біорізноманіття, кліматичні фактори, а також на здоров’я населення.</w:t>
      </w:r>
    </w:p>
    <w:p w14:paraId="3A47042B" w14:textId="77777777" w:rsidR="0090699F" w:rsidRPr="00E00B6D" w:rsidRDefault="0090699F" w:rsidP="001A0ECC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uk-UA"/>
        </w:rPr>
      </w:pPr>
      <w:r w:rsidRPr="00E00B6D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uk-UA"/>
        </w:rPr>
        <w:t>б) для територій з природоохоронним статусом:</w:t>
      </w:r>
    </w:p>
    <w:p w14:paraId="5177AB4E" w14:textId="77777777" w:rsidR="000927E5" w:rsidRDefault="00253873" w:rsidP="001A0ECC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7E5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FF5604" w:rsidRPr="00FF5604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r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755"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ОТГ </w:t>
      </w:r>
      <w:r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природно-заповідного фонду </w:t>
      </w:r>
      <w:r w:rsidR="000927E5" w:rsidRPr="00FF5604">
        <w:rPr>
          <w:rFonts w:ascii="Times New Roman" w:hAnsi="Times New Roman" w:cs="Times New Roman"/>
          <w:sz w:val="24"/>
          <w:szCs w:val="24"/>
          <w:lang w:val="uk-UA"/>
        </w:rPr>
        <w:t>відсутні</w:t>
      </w:r>
      <w:r w:rsidRPr="00FF5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0927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6F3A653" w14:textId="77777777" w:rsidR="0090699F" w:rsidRPr="00E00B6D" w:rsidRDefault="0090699F" w:rsidP="001A0ECC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uk-UA"/>
        </w:rPr>
      </w:pPr>
      <w:r w:rsidRPr="00E00B6D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uk-UA"/>
        </w:rPr>
        <w:t>в) транскордонні наслідки для довкілля, у тому числі для здоров’я населення:</w:t>
      </w:r>
    </w:p>
    <w:p w14:paraId="7C40B9EE" w14:textId="77777777" w:rsidR="002D0A1D" w:rsidRPr="002862FB" w:rsidRDefault="002D0A1D" w:rsidP="001A0ECC">
      <w:pPr>
        <w:tabs>
          <w:tab w:val="left" w:pos="284"/>
          <w:tab w:val="left" w:pos="1122"/>
          <w:tab w:val="left" w:pos="1309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2FB">
        <w:rPr>
          <w:rFonts w:ascii="Times New Roman" w:hAnsi="Times New Roman" w:cs="Times New Roman"/>
          <w:sz w:val="24"/>
          <w:szCs w:val="24"/>
          <w:lang w:val="uk-UA"/>
        </w:rPr>
        <w:t xml:space="preserve">Проектні </w:t>
      </w:r>
      <w:r w:rsidRPr="00FF5604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C52C2D"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позиції </w:t>
      </w:r>
      <w:r w:rsidR="00FD2755" w:rsidRPr="00FF560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15930"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хеми планування території громади </w:t>
      </w:r>
      <w:r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не матимуть транскордонних наслідків для довкілля, у тому числі здоров’я населення, оскільки </w:t>
      </w:r>
      <w:r w:rsidR="00982FF3" w:rsidRPr="00FF5604">
        <w:rPr>
          <w:rFonts w:ascii="Times New Roman" w:hAnsi="Times New Roman" w:cs="Times New Roman"/>
          <w:sz w:val="24"/>
          <w:szCs w:val="24"/>
          <w:lang w:val="uk-UA"/>
        </w:rPr>
        <w:t>територія громади</w:t>
      </w:r>
      <w:r w:rsidRPr="00FF560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A0ECC"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 на як</w:t>
      </w:r>
      <w:r w:rsidR="00982FF3" w:rsidRPr="00FF560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 розробляється </w:t>
      </w:r>
      <w:r w:rsidR="00FD2755" w:rsidRPr="00FF560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15930" w:rsidRPr="00FF5604">
        <w:rPr>
          <w:rFonts w:ascii="Times New Roman" w:hAnsi="Times New Roman" w:cs="Times New Roman"/>
          <w:sz w:val="24"/>
          <w:szCs w:val="24"/>
          <w:lang w:val="uk-UA"/>
        </w:rPr>
        <w:t>хема планування</w:t>
      </w:r>
      <w:r w:rsidRPr="00FF560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A0ECC"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982FF3" w:rsidRPr="00FF560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 на значній відстані від межі сусідніх держав.</w:t>
      </w:r>
    </w:p>
    <w:p w14:paraId="5A29E25C" w14:textId="77777777" w:rsidR="00253873" w:rsidRPr="002862FB" w:rsidRDefault="00253873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13DDC9DA" w14:textId="77777777" w:rsidR="001F48E6" w:rsidRPr="00E00B6D" w:rsidRDefault="001F48E6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  <w:t>5) Виправдані альтернативи, які необхідно розглянути, у тому числі якщо документ державного планування не буде затверджено</w:t>
      </w:r>
    </w:p>
    <w:p w14:paraId="3E956F49" w14:textId="77777777" w:rsidR="00AF6B43" w:rsidRPr="00E00B6D" w:rsidRDefault="00AF6B43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 контексті </w:t>
      </w:r>
      <w:r w:rsidRPr="00EE30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СЕО </w:t>
      </w:r>
      <w:r w:rsidR="00FE222F" w:rsidRPr="00EE308C">
        <w:rPr>
          <w:rFonts w:ascii="Times New Roman" w:hAnsi="Times New Roman" w:cs="Times New Roman"/>
          <w:sz w:val="24"/>
          <w:szCs w:val="24"/>
          <w:lang w:val="uk-UA"/>
        </w:rPr>
        <w:t xml:space="preserve">Схеми </w:t>
      </w:r>
      <w:bookmarkStart w:id="4" w:name="_Hlk33708136"/>
      <w:r w:rsidR="00FE222F" w:rsidRPr="00EE308C">
        <w:rPr>
          <w:rFonts w:ascii="Times New Roman" w:hAnsi="Times New Roman" w:cs="Times New Roman"/>
          <w:sz w:val="24"/>
          <w:szCs w:val="24"/>
          <w:lang w:val="uk-UA"/>
        </w:rPr>
        <w:t xml:space="preserve">планування </w:t>
      </w:r>
      <w:r w:rsidR="00FF5604" w:rsidRPr="00EE308C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r w:rsidR="003025A8" w:rsidRPr="00EE308C">
        <w:rPr>
          <w:rFonts w:ascii="Times New Roman" w:hAnsi="Times New Roman" w:cs="Times New Roman"/>
          <w:sz w:val="24"/>
          <w:szCs w:val="24"/>
          <w:lang w:val="uk-UA"/>
        </w:rPr>
        <w:t xml:space="preserve"> ОТГ</w:t>
      </w:r>
      <w:r w:rsidR="00FE222F" w:rsidRPr="00EE308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F5604" w:rsidRPr="00EE308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Миколаївської</w:t>
      </w:r>
      <w:r w:rsidR="00C52C2D"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області</w:t>
      </w:r>
      <w:bookmarkEnd w:id="4"/>
      <w:r w:rsidR="00C52C2D" w:rsidRPr="0093434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метою розгляду альтернативних проектних рішень та їх екологічних наслідків передбачається розглянути варіант «нульовий», без впровадження проектних змін.</w:t>
      </w:r>
    </w:p>
    <w:p w14:paraId="05DB1B1D" w14:textId="77777777" w:rsidR="00AF6B43" w:rsidRPr="00E00B6D" w:rsidRDefault="00AF6B43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1ABE7F9" w14:textId="77777777" w:rsidR="00AF6B43" w:rsidRPr="00E00B6D" w:rsidRDefault="00AF6B43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  <w:lastRenderedPageBreak/>
        <w:t>6) Дослідження, які необхідно провести, методи і критерії, що використовуватимуться під час стратегічної екологічної оцінки</w:t>
      </w:r>
    </w:p>
    <w:p w14:paraId="7AEF1D63" w14:textId="77777777" w:rsidR="00CE1433" w:rsidRPr="00E00B6D" w:rsidRDefault="00CE1433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Основним критерієм під час стратегічної екологічної оцінки проекту містобудівної документації є її відповідність державним будівельним нормам, санітарним нормам і правилам України, законодавству у сфері охорони навколишнього природного середовища.</w:t>
      </w:r>
    </w:p>
    <w:p w14:paraId="42474850" w14:textId="77777777" w:rsidR="00985ADC" w:rsidRPr="00CA5FDE" w:rsidRDefault="00985ADC" w:rsidP="00985ADC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Обсяг стратегічної екологічної оцінки визначається переліком основних екологічних проблем </w:t>
      </w:r>
      <w:r w:rsidRPr="00CA5FDE">
        <w:rPr>
          <w:rFonts w:ascii="Times New Roman" w:hAnsi="Times New Roman" w:cs="Times New Roman"/>
          <w:sz w:val="24"/>
          <w:szCs w:val="24"/>
          <w:lang w:val="uk-UA"/>
        </w:rPr>
        <w:t xml:space="preserve">наявних </w:t>
      </w:r>
      <w:r w:rsidR="00587585"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FF5604" w:rsidRPr="00FF5604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r w:rsidR="00587585" w:rsidRPr="00FF5604">
        <w:rPr>
          <w:rFonts w:ascii="Times New Roman" w:hAnsi="Times New Roman" w:cs="Times New Roman"/>
          <w:sz w:val="24"/>
          <w:szCs w:val="24"/>
          <w:lang w:val="uk-UA"/>
        </w:rPr>
        <w:t xml:space="preserve"> ОТГ</w:t>
      </w:r>
      <w:r w:rsidR="00245C9D" w:rsidRPr="00FF5604">
        <w:rPr>
          <w:rFonts w:ascii="Times New Roman" w:hAnsi="Times New Roman" w:cs="Times New Roman"/>
          <w:sz w:val="24"/>
          <w:szCs w:val="24"/>
          <w:lang w:val="uk-UA"/>
        </w:rPr>
        <w:t>, зокрема:</w:t>
      </w:r>
    </w:p>
    <w:p w14:paraId="43AE0DE3" w14:textId="77777777" w:rsidR="00245C9D" w:rsidRPr="008D7519" w:rsidRDefault="00436C3B" w:rsidP="00245C9D">
      <w:pPr>
        <w:pStyle w:val="a4"/>
        <w:numPr>
          <w:ilvl w:val="0"/>
          <w:numId w:val="9"/>
        </w:num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436C3B">
        <w:rPr>
          <w:rFonts w:ascii="Times New Roman" w:hAnsi="Times New Roman" w:cs="Times New Roman"/>
          <w:sz w:val="24"/>
          <w:szCs w:val="24"/>
          <w:lang w:val="uk-UA"/>
        </w:rPr>
        <w:t xml:space="preserve">изька якість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питної </w:t>
      </w:r>
      <w:r w:rsidRPr="00436C3B">
        <w:rPr>
          <w:rFonts w:ascii="Times New Roman" w:hAnsi="Times New Roman" w:cs="Times New Roman"/>
          <w:sz w:val="24"/>
          <w:szCs w:val="24"/>
          <w:lang w:val="uk-UA"/>
        </w:rPr>
        <w:t>води  в деяких селах (Яструбінове, Тімірязєвка, Вокзал)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7579BBA" w14:textId="0A9B4457" w:rsidR="00593596" w:rsidRPr="008D7519" w:rsidRDefault="00593596" w:rsidP="008D7519">
      <w:pPr>
        <w:pStyle w:val="a4"/>
        <w:numPr>
          <w:ilvl w:val="0"/>
          <w:numId w:val="9"/>
        </w:num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відсутність централізованого водопостачання в 6 населених пунктах </w:t>
      </w:r>
      <w:r w:rsidRPr="00593596">
        <w:rPr>
          <w:rFonts w:ascii="Times New Roman" w:hAnsi="Times New Roman" w:cs="Times New Roman"/>
          <w:sz w:val="24"/>
          <w:szCs w:val="24"/>
          <w:lang w:val="uk-UA"/>
        </w:rPr>
        <w:t>(с.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593596">
        <w:rPr>
          <w:rFonts w:ascii="Times New Roman" w:hAnsi="Times New Roman" w:cs="Times New Roman"/>
          <w:sz w:val="24"/>
          <w:szCs w:val="24"/>
          <w:lang w:val="uk-UA"/>
        </w:rPr>
        <w:t>Новопристань</w:t>
      </w:r>
      <w:proofErr w:type="spellEnd"/>
      <w:r w:rsidRPr="00593596">
        <w:rPr>
          <w:rFonts w:ascii="Times New Roman" w:hAnsi="Times New Roman" w:cs="Times New Roman"/>
          <w:sz w:val="24"/>
          <w:szCs w:val="24"/>
          <w:lang w:val="uk-UA"/>
        </w:rPr>
        <w:t>, с.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3596">
        <w:rPr>
          <w:rFonts w:ascii="Times New Roman" w:hAnsi="Times New Roman" w:cs="Times New Roman"/>
          <w:sz w:val="24"/>
          <w:szCs w:val="24"/>
          <w:lang w:val="uk-UA"/>
        </w:rPr>
        <w:t>Кам’яна Балка, с.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3596">
        <w:rPr>
          <w:rFonts w:ascii="Times New Roman" w:hAnsi="Times New Roman" w:cs="Times New Roman"/>
          <w:sz w:val="24"/>
          <w:szCs w:val="24"/>
          <w:lang w:val="uk-UA"/>
        </w:rPr>
        <w:t>Вільне, с.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3596">
        <w:rPr>
          <w:rFonts w:ascii="Times New Roman" w:hAnsi="Times New Roman" w:cs="Times New Roman"/>
          <w:sz w:val="24"/>
          <w:szCs w:val="24"/>
          <w:lang w:val="uk-UA"/>
        </w:rPr>
        <w:t>Криворучка, с.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93596">
        <w:rPr>
          <w:rFonts w:ascii="Times New Roman" w:hAnsi="Times New Roman" w:cs="Times New Roman"/>
          <w:sz w:val="24"/>
          <w:szCs w:val="24"/>
          <w:lang w:val="uk-UA"/>
        </w:rPr>
        <w:t>Рюмівське</w:t>
      </w:r>
      <w:proofErr w:type="spellEnd"/>
      <w:r w:rsidRPr="00593596">
        <w:rPr>
          <w:rFonts w:ascii="Times New Roman" w:hAnsi="Times New Roman" w:cs="Times New Roman"/>
          <w:sz w:val="24"/>
          <w:szCs w:val="24"/>
          <w:lang w:val="uk-UA"/>
        </w:rPr>
        <w:t>, с.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3596">
        <w:rPr>
          <w:rFonts w:ascii="Times New Roman" w:hAnsi="Times New Roman" w:cs="Times New Roman"/>
          <w:sz w:val="24"/>
          <w:szCs w:val="24"/>
          <w:lang w:val="uk-UA"/>
        </w:rPr>
        <w:t>Нове)</w:t>
      </w:r>
    </w:p>
    <w:p w14:paraId="46FDF561" w14:textId="77777777" w:rsidR="0069725A" w:rsidRPr="008D7519" w:rsidRDefault="00854FAA" w:rsidP="00245C9D">
      <w:pPr>
        <w:pStyle w:val="a4"/>
        <w:numPr>
          <w:ilvl w:val="0"/>
          <w:numId w:val="9"/>
        </w:num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відсутність системи</w:t>
      </w:r>
      <w:r w:rsidR="0069725A" w:rsidRPr="008D7519">
        <w:rPr>
          <w:rFonts w:ascii="Times New Roman" w:hAnsi="Times New Roman" w:cs="Times New Roman"/>
          <w:sz w:val="24"/>
          <w:szCs w:val="24"/>
          <w:lang w:val="uk-UA"/>
        </w:rPr>
        <w:t xml:space="preserve"> вивезення</w:t>
      </w:r>
      <w:r w:rsidR="00561CE9" w:rsidRPr="008D7519">
        <w:rPr>
          <w:rFonts w:ascii="Times New Roman" w:hAnsi="Times New Roman" w:cs="Times New Roman"/>
          <w:sz w:val="24"/>
          <w:szCs w:val="24"/>
          <w:lang w:val="uk-UA"/>
        </w:rPr>
        <w:t>, поводження з ТПВ</w:t>
      </w:r>
      <w:r w:rsidR="0069725A" w:rsidRPr="008D751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7BB56AB" w14:textId="77777777" w:rsidR="00561CE9" w:rsidRPr="008D7519" w:rsidRDefault="00561CE9" w:rsidP="00245C9D">
      <w:pPr>
        <w:pStyle w:val="a4"/>
        <w:numPr>
          <w:ilvl w:val="0"/>
          <w:numId w:val="9"/>
        </w:num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7519">
        <w:rPr>
          <w:rFonts w:ascii="Times New Roman" w:hAnsi="Times New Roman" w:cs="Times New Roman"/>
          <w:sz w:val="24"/>
          <w:szCs w:val="24"/>
          <w:lang w:val="uk-UA"/>
        </w:rPr>
        <w:t>низький рівень забезпечення громади каналізацією;</w:t>
      </w:r>
    </w:p>
    <w:p w14:paraId="08F89C17" w14:textId="77777777" w:rsidR="000612D4" w:rsidRDefault="00561CE9" w:rsidP="00846170">
      <w:pPr>
        <w:pStyle w:val="a4"/>
        <w:numPr>
          <w:ilvl w:val="0"/>
          <w:numId w:val="9"/>
        </w:num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12D4">
        <w:rPr>
          <w:rFonts w:ascii="Times New Roman" w:hAnsi="Times New Roman" w:cs="Times New Roman"/>
          <w:sz w:val="24"/>
          <w:szCs w:val="24"/>
          <w:lang w:val="uk-UA"/>
        </w:rPr>
        <w:t>відсутність дощової каналізації;</w:t>
      </w:r>
    </w:p>
    <w:p w14:paraId="4488DA26" w14:textId="019970B6" w:rsidR="00561CE9" w:rsidRPr="006E0AA1" w:rsidRDefault="00854FAA" w:rsidP="006E0AA1">
      <w:pPr>
        <w:pStyle w:val="a4"/>
        <w:numPr>
          <w:ilvl w:val="0"/>
          <w:numId w:val="9"/>
        </w:num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заростання</w:t>
      </w:r>
      <w:r w:rsidR="000612D4" w:rsidRPr="000612D4">
        <w:rPr>
          <w:rFonts w:ascii="Times New Roman" w:hAnsi="Times New Roman" w:cs="Times New Roman"/>
          <w:sz w:val="24"/>
          <w:szCs w:val="24"/>
          <w:lang w:val="uk-UA"/>
        </w:rPr>
        <w:t xml:space="preserve"> джерела води у с.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612D4" w:rsidRPr="000612D4">
        <w:rPr>
          <w:rFonts w:ascii="Times New Roman" w:hAnsi="Times New Roman" w:cs="Times New Roman"/>
          <w:sz w:val="24"/>
          <w:szCs w:val="24"/>
          <w:lang w:val="uk-UA"/>
        </w:rPr>
        <w:t>Ястр</w:t>
      </w:r>
      <w:r w:rsidR="006E0AA1">
        <w:rPr>
          <w:rFonts w:ascii="Times New Roman" w:hAnsi="Times New Roman" w:cs="Times New Roman"/>
          <w:sz w:val="24"/>
          <w:szCs w:val="24"/>
          <w:lang w:val="uk-UA"/>
        </w:rPr>
        <w:t>убинове</w:t>
      </w:r>
      <w:proofErr w:type="spellEnd"/>
      <w:r w:rsidR="006E0AA1">
        <w:rPr>
          <w:rFonts w:ascii="Times New Roman" w:hAnsi="Times New Roman" w:cs="Times New Roman"/>
          <w:sz w:val="24"/>
          <w:szCs w:val="24"/>
          <w:lang w:val="uk-UA"/>
        </w:rPr>
        <w:t>, біля залізничної лінії</w:t>
      </w:r>
      <w:r w:rsidR="00561CE9" w:rsidRPr="006E0AA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125BBB2" w14:textId="0CF03E8D" w:rsidR="00130BE0" w:rsidRPr="00854FAA" w:rsidRDefault="00150AD8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При здійсненні стратегічної екологічної оцінки буде застосований аналіз контексту стратегічного планування, що передбачає встановлення зв’язків з іншими документами державного планування та дослідження </w:t>
      </w:r>
      <w:r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нормативно-правових умов реалізації рішень </w:t>
      </w:r>
      <w:r w:rsidR="009559C3" w:rsidRPr="00854FAA">
        <w:rPr>
          <w:rFonts w:ascii="Times New Roman" w:hAnsi="Times New Roman" w:cs="Times New Roman"/>
          <w:sz w:val="24"/>
          <w:szCs w:val="24"/>
          <w:lang w:val="uk-UA"/>
        </w:rPr>
        <w:t>Схеми планування території</w:t>
      </w:r>
      <w:r w:rsidRPr="00854FA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85448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 З метою визначення сфер охоплення стратегічної екологічної оцінки, основних екологічних проблем, цілей охорони довкілля, у тому числі здоров’я населення, що мають відношення до </w:t>
      </w:r>
      <w:r w:rsidR="009559C3" w:rsidRPr="00854FAA">
        <w:rPr>
          <w:rFonts w:ascii="Times New Roman" w:hAnsi="Times New Roman" w:cs="Times New Roman"/>
          <w:sz w:val="24"/>
          <w:szCs w:val="24"/>
          <w:lang w:val="uk-UA"/>
        </w:rPr>
        <w:t>Схеми планування території громади</w:t>
      </w:r>
      <w:r w:rsidR="00485448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, будуть </w:t>
      </w:r>
      <w:r w:rsidR="00485448"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розглянуті стратегічні цілі та завдання щодо виявлених проблем в актах законодавства</w:t>
      </w:r>
      <w:r w:rsidR="00E00B6D"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а </w:t>
      </w:r>
      <w:r w:rsidR="00485448"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</w:t>
      </w:r>
      <w:r w:rsidR="00E00B6D"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кож</w:t>
      </w:r>
      <w:r w:rsidR="00485448"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нормативних актах місцевих рад та адміністрацій, </w:t>
      </w:r>
      <w:r w:rsidR="00E00B6D" w:rsidRPr="00854FAA">
        <w:rPr>
          <w:rFonts w:ascii="Times New Roman" w:hAnsi="Times New Roman" w:cs="Times New Roman"/>
          <w:sz w:val="24"/>
          <w:szCs w:val="24"/>
          <w:lang w:val="uk-UA"/>
        </w:rPr>
        <w:t>зокрема</w:t>
      </w:r>
      <w:r w:rsidR="00485448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0C4C5D" w:rsidRPr="00854FAA">
        <w:rPr>
          <w:rFonts w:ascii="Times New Roman" w:hAnsi="Times New Roman" w:cs="Times New Roman"/>
          <w:sz w:val="24"/>
          <w:szCs w:val="24"/>
          <w:lang w:val="uk-UA"/>
        </w:rPr>
        <w:t>Стратегі</w:t>
      </w:r>
      <w:r w:rsidR="00130BE0" w:rsidRPr="00854FAA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0C4C5D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Прибужанівської громади на 2017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C4C5D" w:rsidRPr="00854FAA">
        <w:rPr>
          <w:rFonts w:ascii="Times New Roman" w:hAnsi="Times New Roman" w:cs="Times New Roman"/>
          <w:sz w:val="24"/>
          <w:szCs w:val="24"/>
          <w:lang w:val="uk-UA"/>
        </w:rPr>
        <w:t>2025 роки</w:t>
      </w:r>
      <w:r w:rsidR="00130BE0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436C3B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План покращення надання послуги з водопостачання в </w:t>
      </w:r>
      <w:proofErr w:type="spellStart"/>
      <w:r w:rsidR="00436C3B" w:rsidRPr="00854FAA">
        <w:rPr>
          <w:rFonts w:ascii="Times New Roman" w:hAnsi="Times New Roman" w:cs="Times New Roman"/>
          <w:sz w:val="24"/>
          <w:szCs w:val="24"/>
          <w:lang w:val="uk-UA"/>
        </w:rPr>
        <w:t>Прибужанівській</w:t>
      </w:r>
      <w:proofErr w:type="spellEnd"/>
      <w:r w:rsidR="00436C3B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 ОТГ</w:t>
      </w:r>
      <w:r w:rsidR="006E0AA1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 на 2018</w:t>
      </w:r>
      <w:r w:rsidR="00E35D8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E0AA1" w:rsidRPr="00854FAA">
        <w:rPr>
          <w:rFonts w:ascii="Times New Roman" w:hAnsi="Times New Roman" w:cs="Times New Roman"/>
          <w:sz w:val="24"/>
          <w:szCs w:val="24"/>
          <w:lang w:val="uk-UA"/>
        </w:rPr>
        <w:t>2021 рр.</w:t>
      </w:r>
    </w:p>
    <w:p w14:paraId="2F9E77FA" w14:textId="77777777" w:rsidR="00150AD8" w:rsidRPr="00854FAA" w:rsidRDefault="00150AD8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Застосування цільового </w:t>
      </w:r>
      <w:r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аналізу при проведенні стратегічної екологічної оцінки дозволить встановити відповідність </w:t>
      </w:r>
      <w:r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рішень </w:t>
      </w:r>
      <w:r w:rsidR="006C18B3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Схеми планування території громади </w:t>
      </w:r>
      <w:r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загальним </w:t>
      </w:r>
      <w:r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>цілям охорони довкілля та забезпечення безпечного для здоров’я населення середовища існування.</w:t>
      </w:r>
    </w:p>
    <w:p w14:paraId="6D6D8344" w14:textId="77777777" w:rsidR="00AF6B43" w:rsidRPr="00854FAA" w:rsidRDefault="001F6D7B" w:rsidP="00581538">
      <w:pPr>
        <w:tabs>
          <w:tab w:val="left" w:pos="426"/>
          <w:tab w:val="left" w:pos="567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 w:rsidR="00355B00"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>ри</w:t>
      </w:r>
      <w:r w:rsidR="00AF6B43"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55B00"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виконанні</w:t>
      </w:r>
      <w:r w:rsidR="00AF6B43"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стратегічної екологічної оцінки буде здійснено:</w:t>
      </w:r>
    </w:p>
    <w:p w14:paraId="1D51B28E" w14:textId="77777777" w:rsidR="00AF6B43" w:rsidRPr="00E00B6D" w:rsidRDefault="00AF6B43" w:rsidP="004C1561">
      <w:pPr>
        <w:numPr>
          <w:ilvl w:val="0"/>
          <w:numId w:val="10"/>
        </w:numPr>
        <w:tabs>
          <w:tab w:val="left" w:pos="851"/>
          <w:tab w:val="left" w:pos="113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54FAA">
        <w:rPr>
          <w:rFonts w:ascii="Times New Roman" w:hAnsi="Times New Roman" w:cs="Times New Roman"/>
          <w:color w:val="000000"/>
          <w:sz w:val="24"/>
          <w:szCs w:val="24"/>
          <w:lang w:val="uk-UA"/>
        </w:rPr>
        <w:t>збір та аналіз інформації про поточний стан складових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довкілля, включаючи значення ключових екологічних показників;</w:t>
      </w:r>
    </w:p>
    <w:p w14:paraId="623BA5F6" w14:textId="77777777" w:rsidR="00AF6B43" w:rsidRPr="00E00B6D" w:rsidRDefault="00AF6B43" w:rsidP="004C1561">
      <w:pPr>
        <w:numPr>
          <w:ilvl w:val="0"/>
          <w:numId w:val="10"/>
        </w:numPr>
        <w:tabs>
          <w:tab w:val="left" w:pos="851"/>
          <w:tab w:val="left" w:pos="113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проведення аналізу слабких та сильних сторін </w:t>
      </w:r>
      <w:r w:rsidR="00BD1CA5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території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 точки зору екологічної ситуації;</w:t>
      </w:r>
    </w:p>
    <w:p w14:paraId="255AA6EF" w14:textId="77777777" w:rsidR="00B46E50" w:rsidRPr="00E00B6D" w:rsidRDefault="00B46E50" w:rsidP="004C1561">
      <w:pPr>
        <w:numPr>
          <w:ilvl w:val="0"/>
          <w:numId w:val="10"/>
        </w:numPr>
        <w:tabs>
          <w:tab w:val="left" w:pos="851"/>
          <w:tab w:val="left" w:pos="113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проведення громадського обговорення </w:t>
      </w:r>
      <w:r w:rsidR="00BD1CA5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метою о</w:t>
      </w:r>
      <w:r w:rsid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трима</w:t>
      </w:r>
      <w:r w:rsidR="00BD1CA5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ння зауважень і пропозицій;</w:t>
      </w:r>
    </w:p>
    <w:p w14:paraId="21C2ED20" w14:textId="77777777" w:rsidR="00AF6B43" w:rsidRPr="00E00B6D" w:rsidRDefault="00AF6B43" w:rsidP="004C1561">
      <w:pPr>
        <w:numPr>
          <w:ilvl w:val="0"/>
          <w:numId w:val="10"/>
        </w:numPr>
        <w:tabs>
          <w:tab w:val="left" w:pos="851"/>
          <w:tab w:val="left" w:pos="113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проведення консультацій з</w:t>
      </w:r>
      <w:r w:rsidR="00DD34FE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уповноваженими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46E50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органами 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щодо екологічних цілей;</w:t>
      </w:r>
    </w:p>
    <w:p w14:paraId="4E0FB758" w14:textId="77777777" w:rsidR="00AF6B43" w:rsidRPr="00E00B6D" w:rsidRDefault="00AF6B43" w:rsidP="004C1561">
      <w:pPr>
        <w:numPr>
          <w:ilvl w:val="0"/>
          <w:numId w:val="10"/>
        </w:numPr>
        <w:tabs>
          <w:tab w:val="left" w:pos="851"/>
          <w:tab w:val="left" w:pos="113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визначення можливих чинників змін антропогенного та природного характеру;</w:t>
      </w:r>
    </w:p>
    <w:p w14:paraId="4BF99930" w14:textId="77777777" w:rsidR="00AF6B43" w:rsidRPr="00E00B6D" w:rsidRDefault="00AF6B43" w:rsidP="004C1561">
      <w:pPr>
        <w:numPr>
          <w:ilvl w:val="0"/>
          <w:numId w:val="10"/>
        </w:numPr>
        <w:tabs>
          <w:tab w:val="left" w:pos="851"/>
          <w:tab w:val="left" w:pos="113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проведення оцінки впливу </w:t>
      </w:r>
      <w:r w:rsidR="00355B00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документа державного планування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складові довкілля та на стан здоров’я населення;</w:t>
      </w:r>
    </w:p>
    <w:p w14:paraId="4176A7B2" w14:textId="77777777" w:rsidR="00AF6B43" w:rsidRPr="00E00B6D" w:rsidRDefault="00AF6B43" w:rsidP="004C1561">
      <w:pPr>
        <w:numPr>
          <w:ilvl w:val="0"/>
          <w:numId w:val="10"/>
        </w:numPr>
        <w:tabs>
          <w:tab w:val="left" w:pos="851"/>
          <w:tab w:val="left" w:pos="1134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моніторинг фактичного впливу впровадження </w:t>
      </w:r>
      <w:r w:rsidR="00355B00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документа державного планування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довкілля.</w:t>
      </w:r>
    </w:p>
    <w:p w14:paraId="000C28AA" w14:textId="77777777" w:rsidR="00CE1433" w:rsidRPr="00E00B6D" w:rsidRDefault="00CE1433" w:rsidP="00581538">
      <w:pPr>
        <w:tabs>
          <w:tab w:val="left" w:pos="360"/>
          <w:tab w:val="left" w:pos="709"/>
          <w:tab w:val="left" w:pos="851"/>
          <w:tab w:val="left" w:pos="993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 розробки СЕО передбачається використовувати наступну інформацію:</w:t>
      </w:r>
    </w:p>
    <w:p w14:paraId="6D80C2CB" w14:textId="77777777" w:rsidR="00CE1433" w:rsidRPr="00E00B6D" w:rsidRDefault="00CE1433" w:rsidP="00DC739F">
      <w:pPr>
        <w:numPr>
          <w:ilvl w:val="0"/>
          <w:numId w:val="4"/>
        </w:numPr>
        <w:tabs>
          <w:tab w:val="clear" w:pos="934"/>
          <w:tab w:val="left" w:pos="360"/>
          <w:tab w:val="left" w:pos="709"/>
          <w:tab w:val="left" w:pos="851"/>
          <w:tab w:val="left" w:pos="1276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доповідь про стан довкілля,</w:t>
      </w:r>
    </w:p>
    <w:p w14:paraId="7FBDD90F" w14:textId="77777777" w:rsidR="00CE1433" w:rsidRPr="00E00B6D" w:rsidRDefault="00CE1433" w:rsidP="00DC739F">
      <w:pPr>
        <w:numPr>
          <w:ilvl w:val="0"/>
          <w:numId w:val="4"/>
        </w:numPr>
        <w:tabs>
          <w:tab w:val="clear" w:pos="934"/>
          <w:tab w:val="left" w:pos="360"/>
          <w:tab w:val="left" w:pos="709"/>
          <w:tab w:val="left" w:pos="851"/>
          <w:tab w:val="left" w:pos="1276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статистичну інформацію,</w:t>
      </w:r>
    </w:p>
    <w:p w14:paraId="313D10E8" w14:textId="77777777" w:rsidR="00CE1433" w:rsidRPr="00E00B6D" w:rsidRDefault="00CE1433" w:rsidP="00DC739F">
      <w:pPr>
        <w:numPr>
          <w:ilvl w:val="0"/>
          <w:numId w:val="4"/>
        </w:numPr>
        <w:tabs>
          <w:tab w:val="clear" w:pos="934"/>
          <w:tab w:val="left" w:pos="360"/>
          <w:tab w:val="left" w:pos="709"/>
          <w:tab w:val="left" w:pos="851"/>
          <w:tab w:val="left" w:pos="1276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лабораторні дослідження стану довкілля,</w:t>
      </w:r>
    </w:p>
    <w:p w14:paraId="0EBE62E2" w14:textId="77777777" w:rsidR="00CE1433" w:rsidRPr="00E00B6D" w:rsidRDefault="00CE1433" w:rsidP="00DC739F">
      <w:pPr>
        <w:numPr>
          <w:ilvl w:val="0"/>
          <w:numId w:val="4"/>
        </w:numPr>
        <w:tabs>
          <w:tab w:val="clear" w:pos="934"/>
          <w:tab w:val="left" w:pos="360"/>
          <w:tab w:val="left" w:pos="709"/>
          <w:tab w:val="left" w:pos="851"/>
          <w:tab w:val="left" w:pos="1276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дані моніторингу стану довкілля,</w:t>
      </w:r>
    </w:p>
    <w:p w14:paraId="38E44055" w14:textId="77777777" w:rsidR="00CE1433" w:rsidRPr="00E00B6D" w:rsidRDefault="00CE1433" w:rsidP="00DC739F">
      <w:pPr>
        <w:numPr>
          <w:ilvl w:val="0"/>
          <w:numId w:val="4"/>
        </w:numPr>
        <w:tabs>
          <w:tab w:val="clear" w:pos="934"/>
          <w:tab w:val="left" w:pos="360"/>
          <w:tab w:val="left" w:pos="709"/>
          <w:tab w:val="left" w:pos="851"/>
          <w:tab w:val="left" w:pos="1276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пропозиції щодо зміни існуючого функціонального використання території.</w:t>
      </w:r>
    </w:p>
    <w:p w14:paraId="2784DA9E" w14:textId="77777777" w:rsidR="00CE1433" w:rsidRPr="00E00B6D" w:rsidRDefault="00CE1433" w:rsidP="00151E29">
      <w:pPr>
        <w:tabs>
          <w:tab w:val="left" w:pos="426"/>
          <w:tab w:val="left" w:pos="567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28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EC39BCB" w14:textId="77777777" w:rsidR="00DD2B47" w:rsidRPr="00E00B6D" w:rsidRDefault="002D172C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  <w:lastRenderedPageBreak/>
        <w:t>7) Заходи, які передбачається розглянути для запобігання, зменшення та пом’якшення негативних наслідків виконання документа державного планування</w:t>
      </w:r>
    </w:p>
    <w:p w14:paraId="213C7DA9" w14:textId="77777777" w:rsidR="003818CC" w:rsidRPr="00E00B6D" w:rsidRDefault="003818CC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Під час здійснення стратегічної екологічної оцінки передбачається розглядати заходи із запобігання, зменшення та пом’якшення негативних наслідків на довкілля, визначені законодавством та нормативно-правовими актами.</w:t>
      </w:r>
    </w:p>
    <w:p w14:paraId="28AD77BD" w14:textId="77777777" w:rsidR="001F6D7B" w:rsidRPr="00E00B6D" w:rsidRDefault="001F6D7B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Комплекс проектних рішень, що приймається для запобігання, зменшення та пом’якшення негативних наслідків від планової діяльності, включає:</w:t>
      </w:r>
    </w:p>
    <w:p w14:paraId="21D7621B" w14:textId="77777777" w:rsidR="005C7491" w:rsidRPr="00E00B6D" w:rsidRDefault="005C7491" w:rsidP="00174E36">
      <w:pPr>
        <w:pStyle w:val="a4"/>
        <w:numPr>
          <w:ilvl w:val="0"/>
          <w:numId w:val="8"/>
        </w:numPr>
        <w:tabs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ресурсозберігаючі заходи – збереження і раціональне використання земельних та водних ресурсів, повторне їх використання та ін.;</w:t>
      </w:r>
    </w:p>
    <w:p w14:paraId="5EDB747B" w14:textId="77777777" w:rsidR="005C7491" w:rsidRPr="00E00B6D" w:rsidRDefault="005C7491" w:rsidP="00174E36">
      <w:pPr>
        <w:pStyle w:val="a4"/>
        <w:numPr>
          <w:ilvl w:val="0"/>
          <w:numId w:val="8"/>
        </w:numPr>
        <w:tabs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планувальні заходи –</w:t>
      </w:r>
      <w:r w:rsidR="001F6D7B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функціональне зонування, організація санітарно-захисних зон, озеленення території та ін.;</w:t>
      </w:r>
    </w:p>
    <w:p w14:paraId="24108840" w14:textId="77777777" w:rsidR="005C7491" w:rsidRPr="00E00B6D" w:rsidRDefault="005C7491" w:rsidP="00174E36">
      <w:pPr>
        <w:pStyle w:val="a4"/>
        <w:numPr>
          <w:ilvl w:val="0"/>
          <w:numId w:val="8"/>
        </w:numPr>
        <w:tabs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left="1134" w:hanging="28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охоронні заходи –</w:t>
      </w:r>
      <w:r w:rsidR="001F6D7B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моніторинг території зон впливу планової діяльності.</w:t>
      </w:r>
    </w:p>
    <w:p w14:paraId="2947B281" w14:textId="77777777" w:rsidR="005C7491" w:rsidRPr="00E00B6D" w:rsidRDefault="005C7491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E97BBA1" w14:textId="77777777" w:rsidR="00B460AF" w:rsidRPr="00E00B6D" w:rsidRDefault="00B460AF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  <w:t>8) Пропозиції щодо структури та змісту звіту про стратегічну екологічну оцінку</w:t>
      </w:r>
    </w:p>
    <w:p w14:paraId="5E05F53D" w14:textId="77777777" w:rsidR="00B460AF" w:rsidRPr="00E00B6D" w:rsidRDefault="008A39F7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F5604">
        <w:rPr>
          <w:rFonts w:ascii="Times New Roman" w:hAnsi="Times New Roman" w:cs="Times New Roman"/>
          <w:color w:val="000000"/>
          <w:sz w:val="24"/>
          <w:szCs w:val="24"/>
          <w:lang w:val="uk-UA"/>
        </w:rPr>
        <w:t>У складі містобудівної документації звітом про стратегічну екологічну оцінку  для проектів містобудівної документації є розділ «Охорона навколишнього природного середовища», який буде виконано відповідно до вимог</w:t>
      </w:r>
      <w:r w:rsidR="00E345AE" w:rsidRPr="00FF56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ст.</w:t>
      </w:r>
      <w:r w:rsidR="00B460AF" w:rsidRPr="00FF5604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Закону України «Про стратегічну екологічну оцінку».</w:t>
      </w:r>
      <w:r w:rsidR="00B460AF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14:paraId="259E18A0" w14:textId="7777777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Пропонується така структура Звіту із СЕО:</w:t>
      </w:r>
    </w:p>
    <w:p w14:paraId="3D238871" w14:textId="7777777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1) зміст та основні цілі документа державного планування, його зв’язок з іншими документами державного планування;</w:t>
      </w:r>
    </w:p>
    <w:p w14:paraId="17363A7C" w14:textId="46613EE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" w:name="n105"/>
      <w:bookmarkEnd w:id="5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2) характеристик</w:t>
      </w:r>
      <w:r w:rsidR="00E35D8A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поточного стану довкілля, у тому числі здоров’я населення, та прогнозні зміни цього стану, якщо документ державного планування не буде затверджено (за адміністративними даними, статистичною інформацією та результатами досліджень);</w:t>
      </w:r>
    </w:p>
    <w:p w14:paraId="166E5BF3" w14:textId="577F3E25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6" w:name="n106"/>
      <w:bookmarkEnd w:id="6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3) характеристик</w:t>
      </w:r>
      <w:r w:rsidR="00E35D8A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стану довкілля, умов життєдіяльності населення та стану його здоров’я на територіях, які ймовірно зазнають впливу (за адміністративними даними, статистичною інформацією та результатами досліджень);</w:t>
      </w:r>
    </w:p>
    <w:p w14:paraId="22CA35E5" w14:textId="7777777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" w:name="n107"/>
      <w:bookmarkEnd w:id="7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4) екологічні проблеми, у тому числі ризики впливу на здоров’я населення, які стосуються документа державного планування, зокрема щодо територій з природоохоронним статусом (за адміністративними даними, статистичною інформацією та результатами досліджень);</w:t>
      </w:r>
    </w:p>
    <w:p w14:paraId="42826A02" w14:textId="7777777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8" w:name="n108"/>
      <w:bookmarkEnd w:id="8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5) зобов’язання у сфері охорони довкілля, у тому числі пов’язані із запобіганням негативному впливу на здоров’я населення, встановлені на міжнародному, державному та інших рівнях, що стосуються документа державного планування, а також шляхи врахування таких зобов’язань під час підготовки документа державного планування;</w:t>
      </w:r>
    </w:p>
    <w:p w14:paraId="2029A412" w14:textId="7777777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9" w:name="n109"/>
      <w:bookmarkEnd w:id="9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6) опис наслідків для довкілля, у тому числі для здоров’я населення, у тому числі вторинних, кумулятивних, синергічних, коротко-, середньо- та довгострокових (1, 3-5 та 10-15 років відповідно, а за необхідності </w:t>
      </w:r>
      <w:r w:rsidR="00AF3EEF"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sym w:font="Symbol" w:char="F02D"/>
      </w:r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50-100 років), постійних і тимчасових, позитивних і негативних наслідків;</w:t>
      </w:r>
    </w:p>
    <w:p w14:paraId="78881C1B" w14:textId="7777777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0" w:name="n110"/>
      <w:bookmarkEnd w:id="10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7) заходи, що передбачається вжити для запобігання, зменшення та пом’якшення негативних наслідків виконання документа державного планування;</w:t>
      </w:r>
    </w:p>
    <w:p w14:paraId="18AB2249" w14:textId="7777777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1" w:name="n111"/>
      <w:bookmarkEnd w:id="11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8) обґрунтування вибору виправданих альтернатив, що розглядалися, опис способу, в який здійснювалася стратегічна екологічна оцінка, у тому числі будь-які ускладнення (недостатність інформації та технічних засобів під час здійснення такої оцінки);</w:t>
      </w:r>
    </w:p>
    <w:p w14:paraId="784F0257" w14:textId="7777777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2" w:name="n112"/>
      <w:bookmarkEnd w:id="12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9) заходи, передбачені для здійснення моніторингу наслідків виконання документа державного планування для довкілля, у тому числі для здоров’я населення;</w:t>
      </w:r>
    </w:p>
    <w:p w14:paraId="0A19A9D0" w14:textId="77777777" w:rsidR="0018527D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3" w:name="n113"/>
      <w:bookmarkEnd w:id="13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10) опис ймовірних транскордонних наслідків для довкілля, у тому числі для здоров’я населення (за наявності);</w:t>
      </w:r>
    </w:p>
    <w:p w14:paraId="15943AC0" w14:textId="77777777" w:rsidR="002D172C" w:rsidRPr="00E00B6D" w:rsidRDefault="0018527D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4" w:name="n114"/>
      <w:bookmarkEnd w:id="14"/>
      <w:r w:rsidRPr="00E00B6D">
        <w:rPr>
          <w:rFonts w:ascii="Times New Roman" w:hAnsi="Times New Roman" w:cs="Times New Roman"/>
          <w:color w:val="000000"/>
          <w:sz w:val="24"/>
          <w:szCs w:val="24"/>
          <w:lang w:val="uk-UA"/>
        </w:rPr>
        <w:t>11) резюме нетехнічного характеру інформації, передбаченої пунктами 1-10 цієї частини, розраховане на широку аудиторію.</w:t>
      </w:r>
    </w:p>
    <w:p w14:paraId="729E9557" w14:textId="77777777" w:rsidR="002D172C" w:rsidRPr="00E00B6D" w:rsidRDefault="002D172C" w:rsidP="00151E29">
      <w:pPr>
        <w:tabs>
          <w:tab w:val="left" w:pos="1122"/>
          <w:tab w:val="left" w:pos="1309"/>
          <w:tab w:val="left" w:pos="1418"/>
        </w:tabs>
        <w:suppressAutoHyphens/>
        <w:overflowPunct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</w:pPr>
    </w:p>
    <w:p w14:paraId="48D41048" w14:textId="77777777" w:rsidR="007616AB" w:rsidRPr="00E00B6D" w:rsidRDefault="00BE17F5" w:rsidP="00151E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00B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9) </w:t>
      </w:r>
      <w:r w:rsidR="007616AB" w:rsidRPr="00E00B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Орган, до якого подаються зауваження і пропозиції</w:t>
      </w:r>
      <w:r w:rsidRPr="00E00B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, та строки їх подання</w:t>
      </w:r>
    </w:p>
    <w:p w14:paraId="0A8186BB" w14:textId="77777777" w:rsidR="007D1B2E" w:rsidRPr="007D1B2E" w:rsidRDefault="00FF5604" w:rsidP="007D1B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Прибужанівська</w:t>
      </w:r>
      <w:r w:rsidR="00A37CA6"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2A45ED" w:rsidRPr="00FF5604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сільська </w:t>
      </w:r>
      <w:r w:rsidR="007D1B2E"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рада </w:t>
      </w:r>
      <w:r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Вознесенського</w:t>
      </w:r>
      <w:r w:rsidR="00A37CA6"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D1B2E"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району </w:t>
      </w:r>
      <w:r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Миколаївської</w:t>
      </w:r>
      <w:r w:rsidR="00A37CA6"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D1B2E"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області (</w:t>
      </w:r>
      <w:r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56523</w:t>
      </w:r>
      <w:r w:rsidR="007D1B2E"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Миколаївська обл., Вознесенський р-н, с. Прибужани, вул. Одеська, 18</w:t>
      </w:r>
      <w:r w:rsidR="007D1B2E" w:rsidRPr="00FF56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14:paraId="261A6EFB" w14:textId="77777777" w:rsidR="007616AB" w:rsidRPr="00E00B6D" w:rsidRDefault="007616AB" w:rsidP="00151E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0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17F5" w:rsidRPr="00E00B6D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>Строк</w:t>
      </w:r>
      <w:r w:rsidRPr="00E00B6D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 xml:space="preserve"> подання </w:t>
      </w:r>
      <w:r w:rsidR="00BE17F5" w:rsidRPr="00E00B6D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 xml:space="preserve">зауважень і </w:t>
      </w:r>
      <w:r w:rsidR="00BE17F5" w:rsidRPr="00854FA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>пропозицій</w:t>
      </w:r>
      <w:r w:rsidR="00BE17F5" w:rsidRPr="00854FA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="00BE17F5" w:rsidRPr="00854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становить</w:t>
      </w:r>
      <w:r w:rsidR="00BE17F5" w:rsidRPr="00854FA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Pr="00854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15 діб з дня отримання заяви про визначення обсягу стратегічної екологічної оцінки </w:t>
      </w:r>
      <w:r w:rsidR="00074D95" w:rsidRPr="00854FAA">
        <w:rPr>
          <w:rFonts w:ascii="Times New Roman" w:hAnsi="Times New Roman" w:cs="Times New Roman"/>
          <w:sz w:val="24"/>
          <w:szCs w:val="24"/>
          <w:lang w:val="uk-UA"/>
        </w:rPr>
        <w:t xml:space="preserve">Схеми </w:t>
      </w:r>
      <w:r w:rsidR="00FF5604" w:rsidRPr="00854FAA">
        <w:rPr>
          <w:rFonts w:ascii="Times New Roman" w:hAnsi="Times New Roman" w:cs="Times New Roman"/>
          <w:sz w:val="24"/>
          <w:szCs w:val="24"/>
          <w:lang w:val="uk-UA"/>
        </w:rPr>
        <w:t>планування Прибужанівської ОТГ</w:t>
      </w:r>
      <w:r w:rsidR="00FF5604" w:rsidRPr="00854F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Миколаївської області</w:t>
      </w:r>
      <w:r w:rsidRPr="00854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(відповідно до </w:t>
      </w:r>
      <w:proofErr w:type="spellStart"/>
      <w:r w:rsidRPr="00854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</w:t>
      </w:r>
      <w:proofErr w:type="spellEnd"/>
      <w:r w:rsidRPr="00854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5</w:t>
      </w:r>
      <w:r w:rsidRPr="00E00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 ст. 10 Закону України «Про стратегічну екологічну оцінку»).</w:t>
      </w:r>
    </w:p>
    <w:sectPr w:rsidR="007616AB" w:rsidRPr="00E0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57369"/>
    <w:multiLevelType w:val="hybridMultilevel"/>
    <w:tmpl w:val="C27EF866"/>
    <w:lvl w:ilvl="0" w:tplc="1EBEA710">
      <w:numFmt w:val="bullet"/>
      <w:lvlText w:val="-"/>
      <w:lvlJc w:val="left"/>
      <w:pPr>
        <w:tabs>
          <w:tab w:val="num" w:pos="934"/>
        </w:tabs>
        <w:ind w:left="93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2596AF9"/>
    <w:multiLevelType w:val="hybridMultilevel"/>
    <w:tmpl w:val="5BA2DFFA"/>
    <w:lvl w:ilvl="0" w:tplc="1B06FF3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17803B7"/>
    <w:multiLevelType w:val="hybridMultilevel"/>
    <w:tmpl w:val="68923C28"/>
    <w:lvl w:ilvl="0" w:tplc="1B06FF3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1D62DC"/>
    <w:multiLevelType w:val="hybridMultilevel"/>
    <w:tmpl w:val="BABAEE42"/>
    <w:lvl w:ilvl="0" w:tplc="1EBEA71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6EF39D6"/>
    <w:multiLevelType w:val="hybridMultilevel"/>
    <w:tmpl w:val="05F4D8E6"/>
    <w:lvl w:ilvl="0" w:tplc="1EBEA710">
      <w:numFmt w:val="bullet"/>
      <w:lvlText w:val="-"/>
      <w:lvlJc w:val="left"/>
      <w:pPr>
        <w:tabs>
          <w:tab w:val="num" w:pos="934"/>
        </w:tabs>
        <w:ind w:left="93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A4A744D"/>
    <w:multiLevelType w:val="hybridMultilevel"/>
    <w:tmpl w:val="D9902422"/>
    <w:lvl w:ilvl="0" w:tplc="7616CC2C">
      <w:start w:val="3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B4208CF"/>
    <w:multiLevelType w:val="hybridMultilevel"/>
    <w:tmpl w:val="43F0AD16"/>
    <w:lvl w:ilvl="0" w:tplc="1EBEA710">
      <w:numFmt w:val="bullet"/>
      <w:lvlText w:val="-"/>
      <w:lvlJc w:val="left"/>
      <w:pPr>
        <w:tabs>
          <w:tab w:val="num" w:pos="934"/>
        </w:tabs>
        <w:ind w:left="93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CF967AB"/>
    <w:multiLevelType w:val="hybridMultilevel"/>
    <w:tmpl w:val="8B6049BC"/>
    <w:lvl w:ilvl="0" w:tplc="1EBEA71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F200117"/>
    <w:multiLevelType w:val="hybridMultilevel"/>
    <w:tmpl w:val="03006CD0"/>
    <w:lvl w:ilvl="0" w:tplc="1EBEA710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492C6D96"/>
    <w:multiLevelType w:val="hybridMultilevel"/>
    <w:tmpl w:val="C26AEBDE"/>
    <w:lvl w:ilvl="0" w:tplc="1B06FF34">
      <w:numFmt w:val="bullet"/>
      <w:lvlText w:val="-"/>
      <w:lvlJc w:val="left"/>
      <w:pPr>
        <w:tabs>
          <w:tab w:val="num" w:pos="934"/>
        </w:tabs>
        <w:ind w:left="934" w:hanging="360"/>
      </w:pPr>
      <w:rPr>
        <w:rFonts w:ascii="Times New Roman" w:eastAsia="Times New Roman" w:hAnsi="Times New Roman" w:cs="Times New Roman" w:hint="default"/>
      </w:rPr>
    </w:lvl>
    <w:lvl w:ilvl="1" w:tplc="B546AEC4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C2456A7"/>
    <w:multiLevelType w:val="hybridMultilevel"/>
    <w:tmpl w:val="F9DE4AC6"/>
    <w:lvl w:ilvl="0" w:tplc="1EBEA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64426"/>
    <w:multiLevelType w:val="hybridMultilevel"/>
    <w:tmpl w:val="5418A896"/>
    <w:lvl w:ilvl="0" w:tplc="7616CC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9248E"/>
    <w:multiLevelType w:val="hybridMultilevel"/>
    <w:tmpl w:val="0CA0AD20"/>
    <w:lvl w:ilvl="0" w:tplc="1B06FF3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10"/>
  </w:num>
  <w:num w:numId="11">
    <w:abstractNumId w:val="12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699"/>
    <w:rsid w:val="00015930"/>
    <w:rsid w:val="00030062"/>
    <w:rsid w:val="000305A3"/>
    <w:rsid w:val="000612D4"/>
    <w:rsid w:val="00074D95"/>
    <w:rsid w:val="000927E5"/>
    <w:rsid w:val="000A5291"/>
    <w:rsid w:val="000B021F"/>
    <w:rsid w:val="000C4C5D"/>
    <w:rsid w:val="000F3BB5"/>
    <w:rsid w:val="0010576B"/>
    <w:rsid w:val="00130BE0"/>
    <w:rsid w:val="00136C8A"/>
    <w:rsid w:val="00150AD8"/>
    <w:rsid w:val="00151E29"/>
    <w:rsid w:val="00174E36"/>
    <w:rsid w:val="00181704"/>
    <w:rsid w:val="0018527D"/>
    <w:rsid w:val="001A0ECC"/>
    <w:rsid w:val="001B679E"/>
    <w:rsid w:val="001D28D1"/>
    <w:rsid w:val="001F48E6"/>
    <w:rsid w:val="001F6D7B"/>
    <w:rsid w:val="00202EF9"/>
    <w:rsid w:val="00245C9D"/>
    <w:rsid w:val="00253873"/>
    <w:rsid w:val="00265C1D"/>
    <w:rsid w:val="00285E38"/>
    <w:rsid w:val="002862FB"/>
    <w:rsid w:val="002A45ED"/>
    <w:rsid w:val="002B5BA6"/>
    <w:rsid w:val="002B7699"/>
    <w:rsid w:val="002C57DD"/>
    <w:rsid w:val="002D0A1D"/>
    <w:rsid w:val="002D172C"/>
    <w:rsid w:val="002F31BC"/>
    <w:rsid w:val="003025A8"/>
    <w:rsid w:val="00355B00"/>
    <w:rsid w:val="003818CC"/>
    <w:rsid w:val="00390100"/>
    <w:rsid w:val="003C5B0F"/>
    <w:rsid w:val="003E02E9"/>
    <w:rsid w:val="004027AF"/>
    <w:rsid w:val="0040301E"/>
    <w:rsid w:val="00422E33"/>
    <w:rsid w:val="00436C3B"/>
    <w:rsid w:val="00484768"/>
    <w:rsid w:val="00485448"/>
    <w:rsid w:val="004C1561"/>
    <w:rsid w:val="004F5DC4"/>
    <w:rsid w:val="0050384A"/>
    <w:rsid w:val="00545623"/>
    <w:rsid w:val="00561CE9"/>
    <w:rsid w:val="00581538"/>
    <w:rsid w:val="00587585"/>
    <w:rsid w:val="005911DB"/>
    <w:rsid w:val="00593596"/>
    <w:rsid w:val="005A267E"/>
    <w:rsid w:val="005C7491"/>
    <w:rsid w:val="005E0DCF"/>
    <w:rsid w:val="005F59C4"/>
    <w:rsid w:val="00613E0D"/>
    <w:rsid w:val="00627134"/>
    <w:rsid w:val="00690980"/>
    <w:rsid w:val="0069725A"/>
    <w:rsid w:val="006B7ECD"/>
    <w:rsid w:val="006C18B3"/>
    <w:rsid w:val="006E0AA1"/>
    <w:rsid w:val="006F7666"/>
    <w:rsid w:val="00713D92"/>
    <w:rsid w:val="00726A80"/>
    <w:rsid w:val="007449CB"/>
    <w:rsid w:val="007616AB"/>
    <w:rsid w:val="007A31B1"/>
    <w:rsid w:val="007D1B2E"/>
    <w:rsid w:val="007D5349"/>
    <w:rsid w:val="00803344"/>
    <w:rsid w:val="00824D8B"/>
    <w:rsid w:val="00830C14"/>
    <w:rsid w:val="00854FAA"/>
    <w:rsid w:val="008A39F7"/>
    <w:rsid w:val="008B5492"/>
    <w:rsid w:val="008D7519"/>
    <w:rsid w:val="008F4091"/>
    <w:rsid w:val="0090699F"/>
    <w:rsid w:val="0093434E"/>
    <w:rsid w:val="009559C3"/>
    <w:rsid w:val="00982FF3"/>
    <w:rsid w:val="00985ADC"/>
    <w:rsid w:val="00985D57"/>
    <w:rsid w:val="009A45F6"/>
    <w:rsid w:val="009E7CB1"/>
    <w:rsid w:val="00A37CA6"/>
    <w:rsid w:val="00A60048"/>
    <w:rsid w:val="00A711EC"/>
    <w:rsid w:val="00A72AC8"/>
    <w:rsid w:val="00A94F97"/>
    <w:rsid w:val="00AF3EEF"/>
    <w:rsid w:val="00AF6B43"/>
    <w:rsid w:val="00B209F6"/>
    <w:rsid w:val="00B36941"/>
    <w:rsid w:val="00B460AF"/>
    <w:rsid w:val="00B46E50"/>
    <w:rsid w:val="00B72139"/>
    <w:rsid w:val="00BA45B9"/>
    <w:rsid w:val="00BD1CA5"/>
    <w:rsid w:val="00BD6844"/>
    <w:rsid w:val="00BE17F5"/>
    <w:rsid w:val="00BF3494"/>
    <w:rsid w:val="00C124A0"/>
    <w:rsid w:val="00C501E9"/>
    <w:rsid w:val="00C52C2D"/>
    <w:rsid w:val="00C65D3C"/>
    <w:rsid w:val="00CA5FDE"/>
    <w:rsid w:val="00CE1433"/>
    <w:rsid w:val="00D7471C"/>
    <w:rsid w:val="00D827FE"/>
    <w:rsid w:val="00D87CA7"/>
    <w:rsid w:val="00DC739F"/>
    <w:rsid w:val="00DD2B47"/>
    <w:rsid w:val="00DD34FE"/>
    <w:rsid w:val="00E00B6D"/>
    <w:rsid w:val="00E017A4"/>
    <w:rsid w:val="00E345AE"/>
    <w:rsid w:val="00E35D8A"/>
    <w:rsid w:val="00E92AE1"/>
    <w:rsid w:val="00EB2D10"/>
    <w:rsid w:val="00EC7461"/>
    <w:rsid w:val="00EE308C"/>
    <w:rsid w:val="00F141BB"/>
    <w:rsid w:val="00F5763A"/>
    <w:rsid w:val="00F92DC9"/>
    <w:rsid w:val="00FB5A4E"/>
    <w:rsid w:val="00FC2C94"/>
    <w:rsid w:val="00FD2755"/>
    <w:rsid w:val="00FD3E82"/>
    <w:rsid w:val="00FE222F"/>
    <w:rsid w:val="00FE7D7D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0A45"/>
  <w15:docId w15:val="{BF900CEE-2B89-41E3-9BB6-AEB1987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C1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36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4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22FAB-0377-4CF6-AC5C-3581EB862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5</Pages>
  <Words>8259</Words>
  <Characters>4708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Админ</cp:lastModifiedBy>
  <cp:revision>120</cp:revision>
  <dcterms:created xsi:type="dcterms:W3CDTF">2019-03-04T14:46:00Z</dcterms:created>
  <dcterms:modified xsi:type="dcterms:W3CDTF">2020-03-26T11:31:00Z</dcterms:modified>
</cp:coreProperties>
</file>