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2D3" w:rsidRDefault="00A032D3" w:rsidP="00A032D3">
      <w:pPr>
        <w:spacing w:after="0" w:line="240" w:lineRule="auto"/>
        <w:jc w:val="right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  <w:t>ПРОЕКТ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ІІ пленарне засідання 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I-го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026E90" w:rsidRDefault="00A032D3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__</w:t>
      </w:r>
      <w:r w:rsid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   березня  2021 року                                                                            </w:t>
      </w:r>
      <w:r w:rsidR="00611787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4"/>
          <w:lang w:eastAsia="ru-RU"/>
        </w:rPr>
        <w:t>___</w:t>
      </w:r>
      <w:r w:rsid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026E90" w:rsidRDefault="00360C5D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Утішківської </w:t>
      </w:r>
      <w:r w:rsidR="00026E90">
        <w:rPr>
          <w:rFonts w:ascii="Times New Roman" w:eastAsia="Times New Roman" w:hAnsi="Times New Roman"/>
          <w:b/>
          <w:sz w:val="28"/>
          <w:szCs w:val="24"/>
          <w:lang w:eastAsia="ru-RU"/>
        </w:rPr>
        <w:t>сільської ради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026E90" w:rsidRDefault="00026E90" w:rsidP="00026E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 xml:space="preserve">Утішківської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сільської ради, 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="00360C5D" w:rsidRPr="00360C5D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 22341670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, місцезнаходження: с.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>Утішків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026E90" w:rsidRDefault="00B36195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360C5D">
        <w:rPr>
          <w:rFonts w:ascii="Times New Roman" w:eastAsia="Times New Roman" w:hAnsi="Times New Roman"/>
          <w:sz w:val="28"/>
          <w:szCs w:val="28"/>
          <w:lang w:eastAsia="ru-RU"/>
        </w:rPr>
        <w:t>Утішківської</w:t>
      </w:r>
      <w:r w:rsidR="00D2417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>сільської ради шляхом приєднання до Красненської селищної ради Золочівського району Львівської області.</w:t>
      </w: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Селищний голова                                                          Роман ФУРДА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026E90" w:rsidRDefault="00026E90" w:rsidP="00026E90"/>
    <w:p w:rsidR="004D1569" w:rsidRDefault="00A032D3"/>
    <w:sectPr w:rsidR="004D1569" w:rsidSect="007D020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D79D8"/>
    <w:rsid w:val="00026E90"/>
    <w:rsid w:val="00360C5D"/>
    <w:rsid w:val="00611787"/>
    <w:rsid w:val="007D020D"/>
    <w:rsid w:val="00A032D3"/>
    <w:rsid w:val="00A739B1"/>
    <w:rsid w:val="00B36195"/>
    <w:rsid w:val="00BD79D8"/>
    <w:rsid w:val="00D2417A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E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26E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1377</Words>
  <Characters>786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2021-03-12T08:41:00Z</cp:lastPrinted>
  <dcterms:created xsi:type="dcterms:W3CDTF">2021-03-12T06:54:00Z</dcterms:created>
  <dcterms:modified xsi:type="dcterms:W3CDTF">2021-04-12T11:54:00Z</dcterms:modified>
</cp:coreProperties>
</file>