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7E6" w:rsidRPr="000637E6" w:rsidRDefault="000637E6" w:rsidP="000637E6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F84BB8" w:rsidRPr="000637E6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en-US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394335" cy="59880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  <w:t xml:space="preserve"> Україна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  <w:t>КРАСНЕНСЬКА СЕЛИЩНА  РАДА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3366FF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ЗОЛОЧІВСЬКОГО РАЙОНУ ЛЬВІВСЬКОЇ ОБЛАСТІ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9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ru-RU"/>
        </w:rPr>
        <w:t>сесія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V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ru-RU"/>
        </w:rPr>
        <w:t>ІІ</w:t>
      </w:r>
      <w:r>
        <w:rPr>
          <w:rFonts w:ascii="Times New Roman CYR" w:hAnsi="Times New Roman CYR" w:cs="Times New Roman CYR"/>
          <w:sz w:val="28"/>
          <w:szCs w:val="28"/>
          <w:u w:val="single"/>
          <w:lang w:val="ru-RU"/>
        </w:rPr>
        <w:t>I-го</w:t>
      </w:r>
      <w:proofErr w:type="spellEnd"/>
      <w:r>
        <w:rPr>
          <w:rFonts w:ascii="Times New Roman CYR" w:hAnsi="Times New Roman CYR" w:cs="Times New Roman CYR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ru-RU"/>
        </w:rPr>
        <w:t>скликання</w:t>
      </w:r>
      <w:proofErr w:type="spellEnd"/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0"/>
          <w:szCs w:val="40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Н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Я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6"/>
          <w:szCs w:val="16"/>
          <w:lang w:val="ru-RU"/>
        </w:rPr>
      </w:pPr>
    </w:p>
    <w:p w:rsidR="00F84BB8" w:rsidRPr="000637E6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>29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червня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2021року         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№</w:t>
      </w:r>
      <w:r w:rsidR="000637E6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0637E6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>_____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ru-RU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Про ліквідацію селищної та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сільських виборчих комісій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Керуючись статтею 110 Цивільного кодексу України, статтями 25, 26, п.п.1, 9 п.6-1 </w:t>
      </w:r>
      <w:hyperlink r:id="rId5" w:history="1">
        <w:r>
          <w:rPr>
            <w:rFonts w:ascii="Times New Roman CYR" w:hAnsi="Times New Roman CYR" w:cs="Times New Roman CYR"/>
            <w:color w:val="000000"/>
            <w:sz w:val="26"/>
            <w:szCs w:val="26"/>
          </w:rPr>
          <w:t>розділу V «Прикінцеві та перехідні положення» Закону України «Про місцеве самоврядування в Україні»</w:t>
        </w:r>
      </w:hyperlink>
      <w:r>
        <w:rPr>
          <w:rFonts w:ascii="Times New Roman CYR" w:hAnsi="Times New Roman CYR" w:cs="Times New Roman CYR"/>
          <w:sz w:val="26"/>
          <w:szCs w:val="26"/>
        </w:rPr>
        <w:t xml:space="preserve">, розпорядженням  Кабінету Міністрів України  від 12.06.2020 року № 718-р «Про визначення адміністративних центрів та затвердження територій територіальних громад Львівської області», враховуючи рішення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селищної ради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Золочівського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від 16.12.2020 №12 «Про початок процедури реорганізації юридичних осіб – сільських рад, розміщених поза адміністративним центром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селищної територіальної громади», селищна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рада вирішила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:</w:t>
      </w:r>
    </w:p>
    <w:p w:rsidR="00F84BB8" w:rsidRDefault="00F84BB8" w:rsidP="00F84BB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>Припинити шляхом ліквідації юридичні особи:</w:t>
      </w:r>
    </w:p>
    <w:p w:rsidR="00F84BB8" w:rsidRDefault="00F84BB8" w:rsidP="00F84BB8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>34086850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Андріївську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 xml:space="preserve"> 34086866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Задвір’янську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 xml:space="preserve"> 34086887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Полтв’янську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 xml:space="preserve"> 34101150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Куткірську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>34101077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Сторонибабську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>34107278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Утішківську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>34101103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Балучинську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34101061);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Бортківську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Золочівського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34102274).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2.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>Створити ліквідаційну комісію по ліквідації селищної та сільських виборчих комісій та затвердити її склад (додається).</w:t>
      </w:r>
    </w:p>
    <w:p w:rsidR="00F84BB8" w:rsidRDefault="00F84BB8" w:rsidP="00F84BB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Ліквідаційна комісія знаходиться за адресою:80560, Львівська область,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Золочівський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смт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 Красне, вул. Івана Франка, 2а.</w:t>
      </w:r>
    </w:p>
    <w:p w:rsidR="00F84BB8" w:rsidRDefault="00F84BB8" w:rsidP="00F84BB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  <w:lang w:val="ru-RU"/>
        </w:rPr>
      </w:pPr>
    </w:p>
    <w:p w:rsidR="00F84BB8" w:rsidRDefault="00F84BB8" w:rsidP="00F84BB8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10"/>
          <w:szCs w:val="10"/>
          <w:lang w:val="ru-RU"/>
        </w:rPr>
      </w:pPr>
      <w:r>
        <w:rPr>
          <w:rFonts w:ascii="Times New Roman CYR" w:hAnsi="Times New Roman CYR" w:cs="Times New Roman CYR"/>
          <w:sz w:val="28"/>
          <w:szCs w:val="28"/>
        </w:rPr>
        <w:t>4.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Встановити термін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пред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ru-RU"/>
        </w:rPr>
        <w:t>’</w:t>
      </w:r>
      <w:r>
        <w:rPr>
          <w:rFonts w:ascii="Times New Roman CYR" w:hAnsi="Times New Roman CYR" w:cs="Times New Roman CYR"/>
          <w:sz w:val="26"/>
          <w:szCs w:val="26"/>
        </w:rPr>
        <w:t>явлення кредиторських вимог – 2 (два) місяці з дня оприлюднення.</w:t>
      </w:r>
    </w:p>
    <w:p w:rsidR="00F84BB8" w:rsidRDefault="00F84BB8" w:rsidP="00F84BB8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8"/>
          <w:szCs w:val="28"/>
        </w:rPr>
        <w:t>5.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>Ліквідаційній комісії провести повну інвентаризацію всього майна, активів, зобов’язань тощо.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>Вжити заходи щодо виявлення кредиторів, а також письмово повідомити їх про припинення селищної та сільських виборчих комісій.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Забезпечити здійснення розрахунків з кредиторами (у разі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заявлення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ними вимог) згідно з чинним законодавством України.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>Вжити заходи щодо стягнення дебіторської заборгованості.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Скласти по закінченню строку для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заявлення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вимог кредиторів проміжний ліквідаційний баланс.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10"/>
          <w:szCs w:val="10"/>
          <w:lang w:val="ru-RU"/>
        </w:rPr>
      </w:pPr>
    </w:p>
    <w:p w:rsidR="00F84BB8" w:rsidRDefault="00F84BB8" w:rsidP="00F84BB8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6.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селищну раду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Золочівського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04372773) вважати правонаступником активів та пасивів, всіх майнових прав та обов’язків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Андріївської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Задвір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ru-RU"/>
        </w:rPr>
        <w:t>’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янської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Полтв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ru-RU"/>
        </w:rPr>
        <w:t>’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янської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Куткірської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Сторонибабської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Утішківської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Задвір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ru-RU"/>
        </w:rPr>
        <w:t>’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янської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Балучинської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Бортківської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Золочівського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області. </w:t>
      </w:r>
    </w:p>
    <w:p w:rsidR="00F84BB8" w:rsidRDefault="00F84BB8" w:rsidP="00F84BB8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7.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>Доручити голові ліквідаційної комісії подати дане рішення в орган державної реєстрації.</w:t>
      </w:r>
    </w:p>
    <w:p w:rsidR="00F84BB8" w:rsidRDefault="00F84BB8" w:rsidP="00F84BB8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8.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Ліквідаційній комісії скласти ліквідаційний баланс та подати його на затвердження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Красненській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селищній раді.</w:t>
      </w:r>
    </w:p>
    <w:p w:rsidR="00F84BB8" w:rsidRDefault="00F84BB8" w:rsidP="00F84BB8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9.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Голові ліквідаційної комісії не раніше, ніж через два місяці з дати публікації повідомлення про припинення селищної та сільських виборчих комісій шляхом їх ліквідації, надати державному реєстратору документи для внесення відповідних змін, що містяться в єдиному держаному реєстрі юридичних осіб, фізичних осіб - підприємців та громадських формувань. </w:t>
      </w:r>
    </w:p>
    <w:p w:rsidR="00F84BB8" w:rsidRDefault="00F84BB8" w:rsidP="00F84BB8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10. Контроль за виконанням рішення покласти на постійну комісію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з питань 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</w:t>
      </w:r>
      <w:r>
        <w:rPr>
          <w:rFonts w:ascii="Times New Roman CYR" w:hAnsi="Times New Roman CYR" w:cs="Times New Roman CYR"/>
          <w:i/>
          <w:iCs/>
          <w:color w:val="000000"/>
          <w:sz w:val="26"/>
          <w:szCs w:val="26"/>
        </w:rPr>
        <w:t xml:space="preserve"> (Г.Смірнова).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</w:t>
      </w:r>
      <w:proofErr w:type="spellStart"/>
      <w:r>
        <w:rPr>
          <w:rFonts w:ascii="Times New Roman CYR" w:hAnsi="Times New Roman CYR" w:cs="Times New Roman CYR"/>
          <w:b/>
          <w:bCs/>
          <w:sz w:val="26"/>
          <w:szCs w:val="26"/>
        </w:rPr>
        <w:t>Селищий</w:t>
      </w:r>
      <w:proofErr w:type="spellEnd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голова                                                                           Роман ФУРДА</w:t>
      </w:r>
    </w:p>
    <w:sectPr w:rsidR="00F84BB8" w:rsidSect="00D61ED0">
      <w:pgSz w:w="12240" w:h="15840"/>
      <w:pgMar w:top="850" w:right="850" w:bottom="850" w:left="1417" w:header="708" w:footer="708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08"/>
  <w:hyphenationZone w:val="425"/>
  <w:characterSpacingControl w:val="doNotCompress"/>
  <w:compat/>
  <w:rsids>
    <w:rsidRoot w:val="00F84BB8"/>
    <w:rsid w:val="000637E6"/>
    <w:rsid w:val="00385BFE"/>
    <w:rsid w:val="00C706E2"/>
    <w:rsid w:val="00EA2C4E"/>
    <w:rsid w:val="00EB3B12"/>
    <w:rsid w:val="00F8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an_768/ed_2021_02_19/pravo1/Z970280.html?pravo=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3050</Words>
  <Characters>1740</Characters>
  <Application>Microsoft Office Word</Application>
  <DocSecurity>0</DocSecurity>
  <Lines>14</Lines>
  <Paragraphs>9</Paragraphs>
  <ScaleCrop>false</ScaleCrop>
  <Company/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2021-07-05T12:56:00Z</dcterms:created>
  <dcterms:modified xsi:type="dcterms:W3CDTF">2021-07-09T07:59:00Z</dcterms:modified>
</cp:coreProperties>
</file>