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425879" w14:textId="0A636A3A" w:rsidR="003D5D4A" w:rsidRPr="003D5D4A" w:rsidRDefault="003D5D4A" w:rsidP="003D5D4A">
      <w:pPr>
        <w:tabs>
          <w:tab w:val="left" w:pos="7201"/>
        </w:tabs>
        <w:jc w:val="right"/>
        <w:rPr>
          <w:sz w:val="24"/>
          <w:szCs w:val="24"/>
          <w:lang w:val="uk-UA"/>
        </w:rPr>
      </w:pPr>
      <w:r>
        <w:rPr>
          <w:sz w:val="24"/>
          <w:szCs w:val="24"/>
          <w:lang w:val="uk-UA"/>
        </w:rPr>
        <w:t>ПРОЕКТ</w:t>
      </w:r>
      <w:bookmarkStart w:id="0" w:name="_GoBack"/>
      <w:bookmarkEnd w:id="0"/>
    </w:p>
    <w:p w14:paraId="46AA32D3" w14:textId="4289DF25" w:rsidR="00BF183E" w:rsidRPr="00BF183E" w:rsidRDefault="00BF183E" w:rsidP="00D362A3">
      <w:pPr>
        <w:spacing w:before="67"/>
        <w:jc w:val="right"/>
        <w:rPr>
          <w:rFonts w:ascii="Times New Roman" w:hAnsi="Times New Roman" w:cs="Times New Roman"/>
          <w:sz w:val="28"/>
          <w:szCs w:val="28"/>
          <w:lang w:val="uk-UA"/>
        </w:rPr>
      </w:pPr>
      <w:r w:rsidRPr="00BF183E">
        <w:rPr>
          <w:rFonts w:ascii="Times New Roman" w:hAnsi="Times New Roman" w:cs="Times New Roman"/>
          <w:color w:val="000000"/>
          <w:sz w:val="28"/>
          <w:szCs w:val="28"/>
        </w:rPr>
        <w:t> </w:t>
      </w:r>
      <w:r w:rsidRPr="00BF183E">
        <w:rPr>
          <w:rFonts w:ascii="Times New Roman" w:hAnsi="Times New Roman" w:cs="Times New Roman"/>
          <w:color w:val="000000"/>
          <w:sz w:val="28"/>
          <w:szCs w:val="28"/>
          <w:lang w:val="uk-UA"/>
        </w:rPr>
        <w:t xml:space="preserve">                             </w:t>
      </w:r>
      <w:r w:rsidR="004A447C">
        <w:rPr>
          <w:rFonts w:ascii="Times New Roman" w:hAnsi="Times New Roman" w:cs="Times New Roman"/>
          <w:color w:val="000000"/>
          <w:sz w:val="28"/>
          <w:szCs w:val="28"/>
          <w:lang w:val="uk-UA"/>
        </w:rPr>
        <w:t xml:space="preserve">  </w:t>
      </w:r>
      <w:r w:rsidRPr="00BF183E">
        <w:rPr>
          <w:rFonts w:ascii="Times New Roman" w:hAnsi="Times New Roman" w:cs="Times New Roman"/>
          <w:sz w:val="28"/>
          <w:szCs w:val="28"/>
          <w:lang w:val="uk-UA"/>
        </w:rPr>
        <w:t xml:space="preserve">Додаток </w:t>
      </w:r>
    </w:p>
    <w:p w14:paraId="0A6CA4BE" w14:textId="5D1A3180" w:rsidR="00BF183E" w:rsidRPr="007B1295" w:rsidRDefault="00BF183E" w:rsidP="00D362A3">
      <w:pPr>
        <w:spacing w:before="67"/>
        <w:jc w:val="right"/>
        <w:rPr>
          <w:rFonts w:ascii="Times New Roman" w:hAnsi="Times New Roman" w:cs="Times New Roman"/>
          <w:sz w:val="28"/>
          <w:szCs w:val="28"/>
          <w:lang w:val="uk-UA"/>
        </w:rPr>
      </w:pPr>
      <w:r w:rsidRPr="007B1295">
        <w:rPr>
          <w:rFonts w:ascii="Times New Roman" w:hAnsi="Times New Roman" w:cs="Times New Roman"/>
          <w:sz w:val="28"/>
          <w:szCs w:val="28"/>
          <w:lang w:val="uk-UA"/>
        </w:rPr>
        <w:t xml:space="preserve">                                                               до рішення </w:t>
      </w:r>
      <w:r w:rsidR="007B1295" w:rsidRPr="007B1295">
        <w:rPr>
          <w:rFonts w:ascii="Times New Roman" w:hAnsi="Times New Roman" w:cs="Times New Roman"/>
          <w:sz w:val="28"/>
          <w:szCs w:val="28"/>
          <w:lang w:val="uk-UA"/>
        </w:rPr>
        <w:t>Красненської селищної ради</w:t>
      </w:r>
    </w:p>
    <w:p w14:paraId="04F8C992" w14:textId="6F700CA3" w:rsidR="00BF183E" w:rsidRPr="00BF183E" w:rsidRDefault="00BF183E" w:rsidP="00D362A3">
      <w:pPr>
        <w:spacing w:before="67"/>
        <w:jc w:val="right"/>
        <w:rPr>
          <w:rFonts w:ascii="Times New Roman" w:hAnsi="Times New Roman" w:cs="Times New Roman"/>
          <w:sz w:val="28"/>
          <w:szCs w:val="28"/>
          <w:lang w:val="uk-UA"/>
        </w:rPr>
      </w:pPr>
      <w:r w:rsidRPr="00BF183E">
        <w:rPr>
          <w:rFonts w:ascii="Times New Roman" w:hAnsi="Times New Roman" w:cs="Times New Roman"/>
          <w:sz w:val="28"/>
          <w:szCs w:val="28"/>
          <w:lang w:val="uk-UA"/>
        </w:rPr>
        <w:t xml:space="preserve">                    </w:t>
      </w:r>
      <w:r w:rsidR="004A447C">
        <w:rPr>
          <w:rFonts w:ascii="Times New Roman" w:hAnsi="Times New Roman" w:cs="Times New Roman"/>
          <w:sz w:val="28"/>
          <w:szCs w:val="28"/>
          <w:lang w:val="uk-UA"/>
        </w:rPr>
        <w:t xml:space="preserve">                            </w:t>
      </w:r>
      <w:r w:rsidRPr="00BF183E">
        <w:rPr>
          <w:rFonts w:ascii="Times New Roman" w:hAnsi="Times New Roman" w:cs="Times New Roman"/>
          <w:sz w:val="28"/>
          <w:szCs w:val="28"/>
          <w:lang w:val="uk-UA"/>
        </w:rPr>
        <w:t>від</w:t>
      </w:r>
      <w:r w:rsidR="004A447C">
        <w:rPr>
          <w:rFonts w:ascii="Times New Roman" w:hAnsi="Times New Roman" w:cs="Times New Roman"/>
          <w:sz w:val="28"/>
          <w:szCs w:val="28"/>
          <w:lang w:val="uk-UA"/>
        </w:rPr>
        <w:t xml:space="preserve"> </w:t>
      </w:r>
      <w:r w:rsidR="00847E6E">
        <w:rPr>
          <w:rFonts w:ascii="Times New Roman" w:hAnsi="Times New Roman" w:cs="Times New Roman"/>
          <w:sz w:val="28"/>
          <w:szCs w:val="28"/>
          <w:lang w:val="uk-UA"/>
        </w:rPr>
        <w:t>16</w:t>
      </w:r>
      <w:r w:rsidR="004A447C">
        <w:rPr>
          <w:rFonts w:ascii="Times New Roman" w:hAnsi="Times New Roman" w:cs="Times New Roman"/>
          <w:sz w:val="28"/>
          <w:szCs w:val="28"/>
          <w:lang w:val="uk-UA"/>
        </w:rPr>
        <w:t>.0</w:t>
      </w:r>
      <w:r w:rsidR="00847E6E">
        <w:rPr>
          <w:rFonts w:ascii="Times New Roman" w:hAnsi="Times New Roman" w:cs="Times New Roman"/>
          <w:sz w:val="28"/>
          <w:szCs w:val="28"/>
          <w:lang w:val="uk-UA"/>
        </w:rPr>
        <w:t>9</w:t>
      </w:r>
      <w:r w:rsidR="004A447C">
        <w:rPr>
          <w:rFonts w:ascii="Times New Roman" w:hAnsi="Times New Roman" w:cs="Times New Roman"/>
          <w:sz w:val="28"/>
          <w:szCs w:val="28"/>
          <w:lang w:val="uk-UA"/>
        </w:rPr>
        <w:t>.2021 №</w:t>
      </w:r>
      <w:r w:rsidR="00583E1C">
        <w:rPr>
          <w:rFonts w:ascii="Times New Roman" w:hAnsi="Times New Roman" w:cs="Times New Roman"/>
          <w:sz w:val="28"/>
          <w:szCs w:val="28"/>
          <w:lang w:val="uk-UA"/>
        </w:rPr>
        <w:t>___</w:t>
      </w:r>
    </w:p>
    <w:p w14:paraId="220A3E25" w14:textId="77777777" w:rsidR="00BF183E" w:rsidRPr="00BF183E" w:rsidRDefault="00BF183E" w:rsidP="00BF183E">
      <w:pPr>
        <w:spacing w:before="67"/>
        <w:jc w:val="center"/>
        <w:rPr>
          <w:rFonts w:ascii="Times New Roman" w:hAnsi="Times New Roman" w:cs="Times New Roman"/>
          <w:sz w:val="28"/>
          <w:szCs w:val="28"/>
          <w:lang w:val="uk-UA"/>
        </w:rPr>
      </w:pPr>
    </w:p>
    <w:p w14:paraId="7DFEE6A2" w14:textId="77777777" w:rsidR="00BF183E" w:rsidRPr="00BF183E" w:rsidRDefault="00BF183E" w:rsidP="00BF183E">
      <w:pPr>
        <w:jc w:val="center"/>
        <w:rPr>
          <w:rFonts w:ascii="Times New Roman" w:hAnsi="Times New Roman" w:cs="Times New Roman"/>
          <w:b/>
          <w:noProof/>
          <w:sz w:val="28"/>
          <w:szCs w:val="28"/>
          <w:lang w:val="uk-UA"/>
        </w:rPr>
      </w:pPr>
      <w:r w:rsidRPr="00BF183E">
        <w:rPr>
          <w:rFonts w:ascii="Times New Roman" w:hAnsi="Times New Roman" w:cs="Times New Roman"/>
          <w:b/>
          <w:noProof/>
          <w:sz w:val="28"/>
          <w:szCs w:val="28"/>
          <w:lang w:val="uk-UA"/>
        </w:rPr>
        <w:t>Прогноз</w:t>
      </w:r>
    </w:p>
    <w:p w14:paraId="36E2C2D9" w14:textId="7463565E" w:rsidR="00BF183E" w:rsidRPr="00BF183E" w:rsidRDefault="00BF183E" w:rsidP="00BF183E">
      <w:pPr>
        <w:spacing w:before="67"/>
        <w:jc w:val="center"/>
        <w:rPr>
          <w:rFonts w:ascii="Times New Roman" w:hAnsi="Times New Roman" w:cs="Times New Roman"/>
          <w:b/>
          <w:sz w:val="28"/>
          <w:szCs w:val="28"/>
          <w:u w:val="single"/>
          <w:lang w:val="uk-UA"/>
        </w:rPr>
      </w:pPr>
      <w:r w:rsidRPr="00BF183E">
        <w:rPr>
          <w:rFonts w:ascii="Times New Roman" w:hAnsi="Times New Roman" w:cs="Times New Roman"/>
          <w:b/>
          <w:sz w:val="28"/>
          <w:szCs w:val="28"/>
          <w:u w:val="single"/>
          <w:lang w:val="uk-UA"/>
        </w:rPr>
        <w:t xml:space="preserve">бюджету Красненської селищної ради </w:t>
      </w:r>
    </w:p>
    <w:p w14:paraId="3459CB2F" w14:textId="77777777" w:rsidR="00BF183E" w:rsidRPr="00BF183E" w:rsidRDefault="00BF183E" w:rsidP="00BF183E">
      <w:pPr>
        <w:jc w:val="center"/>
        <w:rPr>
          <w:rFonts w:ascii="Times New Roman" w:hAnsi="Times New Roman" w:cs="Times New Roman"/>
          <w:noProof/>
          <w:sz w:val="28"/>
          <w:szCs w:val="28"/>
          <w:lang w:val="uk-UA"/>
        </w:rPr>
      </w:pPr>
      <w:r w:rsidRPr="00BF183E">
        <w:rPr>
          <w:rFonts w:ascii="Times New Roman" w:hAnsi="Times New Roman" w:cs="Times New Roman"/>
          <w:noProof/>
          <w:sz w:val="28"/>
          <w:szCs w:val="28"/>
          <w:lang w:val="uk-UA"/>
        </w:rPr>
        <w:t>(найменування бюджету адміністративно-територіальної одиниці)</w:t>
      </w:r>
    </w:p>
    <w:p w14:paraId="73D4A76F" w14:textId="77777777" w:rsidR="00BF183E" w:rsidRPr="00BF183E" w:rsidRDefault="00BF183E" w:rsidP="00BF183E">
      <w:pPr>
        <w:jc w:val="center"/>
        <w:rPr>
          <w:rFonts w:ascii="Times New Roman" w:hAnsi="Times New Roman" w:cs="Times New Roman"/>
          <w:b/>
          <w:noProof/>
          <w:sz w:val="28"/>
          <w:szCs w:val="28"/>
          <w:u w:val="single"/>
          <w:lang w:val="uk-UA"/>
        </w:rPr>
      </w:pPr>
      <w:r w:rsidRPr="00BF183E">
        <w:rPr>
          <w:rFonts w:ascii="Times New Roman" w:hAnsi="Times New Roman" w:cs="Times New Roman"/>
          <w:b/>
          <w:noProof/>
          <w:sz w:val="28"/>
          <w:szCs w:val="28"/>
          <w:u w:val="single"/>
          <w:lang w:val="uk-UA"/>
        </w:rPr>
        <w:t>на  2022 - 2024 роки</w:t>
      </w:r>
    </w:p>
    <w:p w14:paraId="4028339A" w14:textId="77777777" w:rsidR="00BF183E" w:rsidRPr="00BF183E" w:rsidRDefault="00BF183E" w:rsidP="00BF183E">
      <w:pPr>
        <w:jc w:val="center"/>
        <w:rPr>
          <w:rFonts w:ascii="Times New Roman" w:hAnsi="Times New Roman" w:cs="Times New Roman"/>
          <w:noProof/>
          <w:sz w:val="28"/>
          <w:szCs w:val="28"/>
          <w:lang w:val="uk-UA"/>
        </w:rPr>
      </w:pPr>
      <w:r w:rsidRPr="00BF183E">
        <w:rPr>
          <w:rFonts w:ascii="Times New Roman" w:hAnsi="Times New Roman" w:cs="Times New Roman"/>
          <w:noProof/>
          <w:sz w:val="28"/>
          <w:szCs w:val="28"/>
          <w:lang w:val="uk-UA"/>
        </w:rPr>
        <w:t>(середньостроковий бюджетний період)</w:t>
      </w:r>
    </w:p>
    <w:p w14:paraId="61507289" w14:textId="77777777" w:rsidR="00BF183E" w:rsidRPr="00BF183E" w:rsidRDefault="00BF183E" w:rsidP="00BF183E">
      <w:pPr>
        <w:jc w:val="both"/>
        <w:rPr>
          <w:rFonts w:ascii="Times New Roman" w:hAnsi="Times New Roman" w:cs="Times New Roman"/>
          <w:bCs/>
          <w:sz w:val="28"/>
          <w:szCs w:val="28"/>
          <w:lang w:val="uk-UA"/>
        </w:rPr>
      </w:pPr>
      <w:r w:rsidRPr="00BF183E">
        <w:rPr>
          <w:rFonts w:ascii="Times New Roman" w:hAnsi="Times New Roman" w:cs="Times New Roman"/>
          <w:bCs/>
          <w:sz w:val="28"/>
          <w:szCs w:val="28"/>
          <w:lang w:val="uk-UA"/>
        </w:rPr>
        <w:t xml:space="preserve">                                                     </w:t>
      </w:r>
    </w:p>
    <w:p w14:paraId="6646D892" w14:textId="3C4C52E9" w:rsidR="00BF183E" w:rsidRPr="00BF183E" w:rsidRDefault="00BF183E" w:rsidP="00BF183E">
      <w:pPr>
        <w:jc w:val="center"/>
        <w:rPr>
          <w:rFonts w:ascii="Times New Roman" w:hAnsi="Times New Roman" w:cs="Times New Roman"/>
          <w:bCs/>
          <w:sz w:val="28"/>
          <w:szCs w:val="28"/>
          <w:u w:val="single"/>
          <w:lang w:val="uk-UA"/>
        </w:rPr>
      </w:pPr>
      <w:r w:rsidRPr="00BF183E">
        <w:rPr>
          <w:rFonts w:ascii="Times New Roman" w:hAnsi="Times New Roman" w:cs="Times New Roman"/>
          <w:bCs/>
          <w:sz w:val="28"/>
          <w:szCs w:val="28"/>
          <w:u w:val="single"/>
          <w:lang w:val="uk-UA"/>
        </w:rPr>
        <w:t>(13561000000)</w:t>
      </w:r>
    </w:p>
    <w:p w14:paraId="46EF3AF8" w14:textId="77777777" w:rsidR="00BF183E" w:rsidRPr="00BF183E" w:rsidRDefault="00BF183E" w:rsidP="00BF183E">
      <w:pPr>
        <w:jc w:val="center"/>
        <w:rPr>
          <w:rFonts w:ascii="Times New Roman" w:hAnsi="Times New Roman" w:cs="Times New Roman"/>
          <w:bCs/>
          <w:sz w:val="28"/>
          <w:szCs w:val="28"/>
          <w:lang w:val="uk-UA"/>
        </w:rPr>
      </w:pPr>
      <w:r w:rsidRPr="00BF183E">
        <w:rPr>
          <w:rFonts w:ascii="Times New Roman" w:hAnsi="Times New Roman" w:cs="Times New Roman"/>
          <w:bCs/>
          <w:sz w:val="28"/>
          <w:szCs w:val="28"/>
          <w:lang w:val="uk-UA"/>
        </w:rPr>
        <w:t>(код бюджету)</w:t>
      </w:r>
    </w:p>
    <w:p w14:paraId="62B62571" w14:textId="77777777" w:rsidR="00BF183E" w:rsidRPr="00BF183E" w:rsidRDefault="00BF183E" w:rsidP="00BF183E">
      <w:pPr>
        <w:spacing w:before="67"/>
        <w:jc w:val="center"/>
        <w:rPr>
          <w:rFonts w:ascii="Times New Roman" w:hAnsi="Times New Roman" w:cs="Times New Roman"/>
          <w:b/>
          <w:bCs/>
          <w:color w:val="000000"/>
          <w:sz w:val="28"/>
          <w:szCs w:val="28"/>
          <w:lang w:val="uk-UA" w:eastAsia="uk-UA"/>
        </w:rPr>
      </w:pPr>
    </w:p>
    <w:p w14:paraId="00C748BB" w14:textId="091DE1F4" w:rsidR="00BF183E" w:rsidRPr="00437E36"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val="uk-UA" w:eastAsia="ru-RU"/>
        </w:rPr>
      </w:pPr>
      <w:r w:rsidRPr="00437E36">
        <w:rPr>
          <w:rFonts w:ascii="Times New Roman" w:eastAsia="Times New Roman" w:hAnsi="Times New Roman" w:cs="Times New Roman"/>
          <w:b/>
          <w:bCs/>
          <w:color w:val="2D5CA6"/>
          <w:kern w:val="36"/>
          <w:sz w:val="28"/>
          <w:szCs w:val="28"/>
          <w:bdr w:val="none" w:sz="0" w:space="0" w:color="auto" w:frame="1"/>
          <w:lang w:val="uk-UA" w:eastAsia="ru-RU"/>
        </w:rPr>
        <w:t>І. Загальна частина</w:t>
      </w:r>
    </w:p>
    <w:p w14:paraId="5A7211D3" w14:textId="77777777" w:rsidR="00BF183E" w:rsidRPr="00437E36"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val="uk-UA" w:eastAsia="ru-RU"/>
        </w:rPr>
      </w:pPr>
    </w:p>
    <w:p w14:paraId="34A137BD" w14:textId="1E8DB54F"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val="uk-UA" w:eastAsia="ru-RU"/>
        </w:rPr>
        <w:t xml:space="preserve">Прогноз бюджету </w:t>
      </w:r>
      <w:r>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val="uk-UA" w:eastAsia="ru-RU"/>
        </w:rPr>
        <w:t>ської селищної ради на 2022-2024 роки (далі – Прогноз) розроблено відповідно до статті 75¹ Бюджетного кодексу України, діючого Податкового та Бюджетного кодексів України та інших законодавчих актів, що стосуються місцевих бюджетів та міжбюджетних відносин.</w:t>
      </w:r>
    </w:p>
    <w:p w14:paraId="27E41E36"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Показники Прогнозу сформовано на підставі положень Бюджетної декларації на 2022-2024 роки, основних прогнозних макропоказників економічного і соціального розвитку України, схваленої постановою Кабінету Міністрів України від 31 травня 2021 року № 548.</w:t>
      </w:r>
    </w:p>
    <w:p w14:paraId="7567BB3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 є стратегічним документом планування показників бюджету селищної територіальної громади на середньостроковий період і основою для складання проєкту бюджету на 2022 рік.</w:t>
      </w:r>
    </w:p>
    <w:p w14:paraId="2785C5E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 складено з метою дотримання вимог Бюджетного кодексу України в частині обов’язковості складання документу середньострокового бюджетного планування, що визначає показники місцевого бюджету на середньостроковий період і є основою для складання проекту місцевого бюджету, складання планів діяльності головними розпорядниками коштів бюджету селищної ради, формування ними ефективної та спроможної мережі підвідомчих установ, здійснення своєчасних підготовчих заходів з її формування.</w:t>
      </w:r>
    </w:p>
    <w:p w14:paraId="52072808"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Основними завданнями бюджетної політики на території селищної ради в середньостроковій перспективі є забезпечення надання бюджетними установами якісних соціальних послуг населенню громади, фінансове забезпечення виконання державних, регіональних та місцевих програм соціально-економічного розвитку відповідно до законодавства, підтримка і розвиток окремих напрямів і галузей діяльності суспільства в межах фінансової спроможності бюджету селищної ради.</w:t>
      </w:r>
    </w:p>
    <w:p w14:paraId="77979C4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 на 2022 – 2024 роки містить цілі державної і регіональної політики на місцевому рівні у відповідній сфері діяльності, формування та/або реалізацію якої забезпечують головні розпорядники коштів бюджету селищної ради, та показники їх досягнення на 2022 – 2024 роки </w:t>
      </w:r>
      <w:proofErr w:type="gramStart"/>
      <w:r w:rsidRPr="00BF183E">
        <w:rPr>
          <w:rFonts w:ascii="Times New Roman" w:eastAsia="Times New Roman" w:hAnsi="Times New Roman" w:cs="Times New Roman"/>
          <w:color w:val="000000"/>
          <w:sz w:val="28"/>
          <w:szCs w:val="28"/>
          <w:lang w:eastAsia="ru-RU"/>
        </w:rPr>
        <w:t>у межах</w:t>
      </w:r>
      <w:proofErr w:type="gramEnd"/>
      <w:r w:rsidRPr="00BF183E">
        <w:rPr>
          <w:rFonts w:ascii="Times New Roman" w:eastAsia="Times New Roman" w:hAnsi="Times New Roman" w:cs="Times New Roman"/>
          <w:color w:val="000000"/>
          <w:sz w:val="28"/>
          <w:szCs w:val="28"/>
          <w:lang w:eastAsia="ru-RU"/>
        </w:rPr>
        <w:t xml:space="preserve"> визначених граничних показників видатків.</w:t>
      </w:r>
    </w:p>
    <w:p w14:paraId="0E54880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Очікуваними результатами реалізації бюджетної Політики в середньостроковій перспективі є своєчасна виплата заробітної плати працівникам бюджетних установ та недопущення утворення простроченої кредиторської заборгованості за такими виплатами, своєчасна оплата енергоносіїв, які споживаються бюджетними установами, які фінансуються з бюджету селищної ради, забезпечення належного співфінансування проектів та заходів, які забезпечуються за рахунок трансфертів з державного бюджету у розмірах, визначених законодавством, погашення існуючої та недопущення утворення нової простроченої заборгованості за видатками бюджету селищної ради, фінансове забезпечення виконання власних та делегованих повноважень селищною радою, фінансове забезпечення виконання головними розпорядниками бюджетних коштів їх планів діяльності, упорядкування мережі бюджетних установ, яка б забезпечувала досягнення мети і цілей їх діяльності з максимальною ефективністю та мінімальними затратами.</w:t>
      </w:r>
    </w:p>
    <w:p w14:paraId="5BF220D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Показники Прогнозу можуть змінюватись внаслідок:</w:t>
      </w:r>
    </w:p>
    <w:p w14:paraId="72E3DFA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фактичних цін і тарифів на енергоносії понад рівень, визначений у Бюджетній декларації;</w:t>
      </w:r>
    </w:p>
    <w:p w14:paraId="2B08F9C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прийняття центральними органами рішень, які призводять до збільшення видатків місцевих бюджетів, без передачі відповідного фінансового ресурсу на їх виконання;</w:t>
      </w:r>
    </w:p>
    <w:p w14:paraId="1263A3A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невиконання доходної частини внаслідок невиконання цілей розвитку, визначених у стратегії громади;</w:t>
      </w:r>
    </w:p>
    <w:p w14:paraId="138A45B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фактичне перевищення рівня споживчих цін та цін виробників порівняно з рівнем, прийнятим у Бюджетній декларації;</w:t>
      </w:r>
    </w:p>
    <w:p w14:paraId="3AA2381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визначення міжбюджетних трансфертів (освітня субвенція, базова дотація, додаткові дотації) в обсягах, що не забезпечують фінансування установ на рівні, визначеному законодавством;</w:t>
      </w:r>
    </w:p>
    <w:p w14:paraId="7C4F327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зміни порядків використання трансфертів, які призводять до погіршення стану забезпечення заходів, що здійснюються за рахунок цих трансфертів, чи вимагають додаткових видатків з бюджету громади.</w:t>
      </w:r>
    </w:p>
    <w:p w14:paraId="05508E4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Мінімізація зазначених ризиків практично не залежить від зусиль громади, тому у разі їх виникнення Прогноз потребуватиме кардинальної зміни, оскільки у разі відсутності належної компенсації з центрального бюджету призведе до погіршення рівня забезпеченості власних та делегованих повноважень, скорочення існуючої мережі установ, що надають соціальні послуги жителям громади чи згортання низки проектів, які вже реалізуються чи плануються до виконання.</w:t>
      </w:r>
    </w:p>
    <w:p w14:paraId="7E6DE09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Хоча Прогноз є виключно орієнтиром для складання проекту бюджету селищної ради, фактичні показники проекту бюджету на конкретний плановий бюджетний період відрізнятимуться від аналогічних показників, що містяться у Прогнозі, оскільки базуватиметься на детальних, а не узагальнених розрахунках обсягів видатків, обґрунтованих головними розпорядниками коштів бюджету громади відповідно до вимог Інструкції з підготовки бюджетних запитів, та конкретних обсягів трансфертів з державного бюджету і умов їх використання в плановому бюджетному періоді.</w:t>
      </w:r>
    </w:p>
    <w:p w14:paraId="584D518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Мета Прогнозу полягає у формуванні послідовної та передбачуваної бюджетної політики на рівні громади шляхом створення дієвого механізму управління бюджетним процесом, встановлення зв’язку між стратегічними цілями та можливостями бюджету в середньостроковій перспективі.</w:t>
      </w:r>
    </w:p>
    <w:p w14:paraId="293C7D2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Для досягнення мети Прогнозу планується забезпечити виконання наступних завдань:</w:t>
      </w:r>
    </w:p>
    <w:p w14:paraId="10994ED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рівня доступності та якості публічних послуг; забезпечення комфортності проживання мешканців громади;</w:t>
      </w:r>
    </w:p>
    <w:p w14:paraId="6471EDC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прогнозування обсягів видатків, пов’язаних із продовженням вже існуючих бюджетних програм, та визначення наявності фінансового ресурсу для планування нових бюджетних програм;</w:t>
      </w:r>
    </w:p>
    <w:p w14:paraId="01BD136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результативності та ефективності видатків бюджету; підвищення прозорості бюджетного процесу;</w:t>
      </w:r>
    </w:p>
    <w:p w14:paraId="4D9D9A1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посилення бюджетної дисципліни та контролю за використанням бюджетних коштів;</w:t>
      </w:r>
    </w:p>
    <w:p w14:paraId="322DA8D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рівня відповідальності учасників бюджетного процесу. Прогноз містить цілі державної політики у відповідній сфері діяльності,</w:t>
      </w:r>
    </w:p>
    <w:p w14:paraId="1CB254D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формування та/або реалізацію якої забезпечує головний розпорядник коштів бюджету селищної територіальної громади, та показники їх досягнення на </w:t>
      </w:r>
      <w:r w:rsidRPr="00BF183E">
        <w:rPr>
          <w:rFonts w:ascii="Times New Roman" w:eastAsia="Times New Roman" w:hAnsi="Times New Roman" w:cs="Times New Roman"/>
          <w:color w:val="000000"/>
          <w:sz w:val="28"/>
          <w:szCs w:val="28"/>
          <w:lang w:eastAsia="ru-RU"/>
        </w:rPr>
        <w:lastRenderedPageBreak/>
        <w:t xml:space="preserve">2022 – 2024 роки </w:t>
      </w:r>
      <w:proofErr w:type="gramStart"/>
      <w:r w:rsidRPr="00BF183E">
        <w:rPr>
          <w:rFonts w:ascii="Times New Roman" w:eastAsia="Times New Roman" w:hAnsi="Times New Roman" w:cs="Times New Roman"/>
          <w:color w:val="000000"/>
          <w:sz w:val="28"/>
          <w:szCs w:val="28"/>
          <w:lang w:eastAsia="ru-RU"/>
        </w:rPr>
        <w:t>у межах</w:t>
      </w:r>
      <w:proofErr w:type="gramEnd"/>
      <w:r w:rsidRPr="00BF183E">
        <w:rPr>
          <w:rFonts w:ascii="Times New Roman" w:eastAsia="Times New Roman" w:hAnsi="Times New Roman" w:cs="Times New Roman"/>
          <w:color w:val="000000"/>
          <w:sz w:val="28"/>
          <w:szCs w:val="28"/>
          <w:lang w:eastAsia="ru-RU"/>
        </w:rPr>
        <w:t xml:space="preserve"> визначених граничних показників видатків та надання кредитів.</w:t>
      </w:r>
    </w:p>
    <w:p w14:paraId="006C5ED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Виконання прогнозних показників бюджету в середньостроковому періоді дозволить:</w:t>
      </w:r>
    </w:p>
    <w:p w14:paraId="587F4F8C"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реалізувати цілі державної політики та місцевого розвитку, включаючи покращення якості надання публічних послуг та комфортності проживання жителів громади;</w:t>
      </w:r>
    </w:p>
    <w:p w14:paraId="271B87D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забезпечити передбачуваність та послідовність бюджетної політики; впровадити соціальні стандарти.</w:t>
      </w:r>
    </w:p>
    <w:p w14:paraId="66377AE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Можливими ризиками невиконання прогнозних показників можуть бути зростання тарифів на оплату комунальних послуг та енергоносіїв у порівнянні з показниками, врахованими у Прогнозі, невиконання прогнозних показників доходів бюджету, підвищення рівня інфляції. Заходами з мінімізації впливу фіскальних ризиків на показники бюджету є здійснення заходів з енергоощадження, покращення адміністрування податків і зборів, зниження частки тіньової економіки, залучення грантів (кредитів) Міжнародних фінансових організацій, підвищення інвестиційної привабливості громади.</w:t>
      </w:r>
    </w:p>
    <w:p w14:paraId="7972DF68" w14:textId="3D715BE2" w:rsidR="00BF183E"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bookmarkStart w:id="1" w:name="_Hlk79412507"/>
      <w:r w:rsidRPr="00BF183E">
        <w:rPr>
          <w:rFonts w:ascii="Times New Roman" w:eastAsia="Times New Roman" w:hAnsi="Times New Roman" w:cs="Times New Roman"/>
          <w:b/>
          <w:bCs/>
          <w:color w:val="2D5CA6"/>
          <w:kern w:val="36"/>
          <w:sz w:val="28"/>
          <w:szCs w:val="28"/>
          <w:bdr w:val="none" w:sz="0" w:space="0" w:color="auto" w:frame="1"/>
          <w:lang w:eastAsia="ru-RU"/>
        </w:rPr>
        <w:t>ІІ. Основні прогнозні показники економічного та соціального розвитку</w:t>
      </w:r>
      <w:bookmarkEnd w:id="1"/>
    </w:p>
    <w:p w14:paraId="40DED22E" w14:textId="77777777" w:rsidR="00BF183E" w:rsidRPr="00BF183E"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12529"/>
          <w:kern w:val="36"/>
          <w:sz w:val="28"/>
          <w:szCs w:val="28"/>
          <w:lang w:eastAsia="ru-RU"/>
        </w:rPr>
      </w:pPr>
    </w:p>
    <w:p w14:paraId="46F1A3C6" w14:textId="2B490861"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Основною підприємницькою діяльністю в </w:t>
      </w:r>
      <w:r w:rsidRPr="001325AF">
        <w:rPr>
          <w:rFonts w:ascii="Times New Roman" w:eastAsia="Times New Roman" w:hAnsi="Times New Roman" w:cs="Times New Roman"/>
          <w:color w:val="000000" w:themeColor="text1"/>
          <w:sz w:val="28"/>
          <w:szCs w:val="28"/>
          <w:lang w:val="uk-UA" w:eastAsia="ru-RU"/>
        </w:rPr>
        <w:t>Красненській</w:t>
      </w:r>
      <w:r w:rsidRPr="001325AF">
        <w:rPr>
          <w:rFonts w:ascii="Times New Roman" w:eastAsia="Times New Roman" w:hAnsi="Times New Roman" w:cs="Times New Roman"/>
          <w:color w:val="000000" w:themeColor="text1"/>
          <w:sz w:val="28"/>
          <w:szCs w:val="28"/>
          <w:lang w:eastAsia="ru-RU"/>
        </w:rPr>
        <w:t xml:space="preserve"> громаді є сільське господарство, </w:t>
      </w:r>
      <w:r w:rsidRPr="001325AF">
        <w:rPr>
          <w:rFonts w:ascii="Times New Roman" w:eastAsia="Times New Roman" w:hAnsi="Times New Roman" w:cs="Times New Roman"/>
          <w:color w:val="000000" w:themeColor="text1"/>
          <w:sz w:val="28"/>
          <w:szCs w:val="28"/>
          <w:lang w:val="uk-UA" w:eastAsia="ru-RU"/>
        </w:rPr>
        <w:t>мебельна</w:t>
      </w:r>
      <w:r w:rsidRPr="001325AF">
        <w:rPr>
          <w:rFonts w:ascii="Times New Roman" w:eastAsia="Times New Roman" w:hAnsi="Times New Roman" w:cs="Times New Roman"/>
          <w:color w:val="000000" w:themeColor="text1"/>
          <w:sz w:val="28"/>
          <w:szCs w:val="28"/>
          <w:lang w:eastAsia="ru-RU"/>
        </w:rPr>
        <w:t xml:space="preserve"> промисловість</w:t>
      </w:r>
      <w:r w:rsidR="00C62161" w:rsidRPr="001325AF">
        <w:rPr>
          <w:rFonts w:ascii="Times New Roman" w:eastAsia="Times New Roman" w:hAnsi="Times New Roman" w:cs="Times New Roman"/>
          <w:color w:val="000000" w:themeColor="text1"/>
          <w:sz w:val="28"/>
          <w:szCs w:val="28"/>
          <w:lang w:val="uk-UA" w:eastAsia="ru-RU"/>
        </w:rPr>
        <w:t xml:space="preserve">, </w:t>
      </w:r>
      <w:r w:rsidRPr="001325AF">
        <w:rPr>
          <w:rFonts w:ascii="Times New Roman" w:eastAsia="Times New Roman" w:hAnsi="Times New Roman" w:cs="Times New Roman"/>
          <w:color w:val="000000" w:themeColor="text1"/>
          <w:sz w:val="28"/>
          <w:szCs w:val="28"/>
          <w:lang w:eastAsia="ru-RU"/>
        </w:rPr>
        <w:t>торгівля</w:t>
      </w:r>
      <w:proofErr w:type="gramStart"/>
      <w:r w:rsidR="00C62161" w:rsidRPr="001325AF">
        <w:rPr>
          <w:rFonts w:ascii="Times New Roman" w:eastAsia="Times New Roman" w:hAnsi="Times New Roman" w:cs="Times New Roman"/>
          <w:color w:val="000000" w:themeColor="text1"/>
          <w:sz w:val="28"/>
          <w:szCs w:val="28"/>
          <w:lang w:val="uk-UA" w:eastAsia="ru-RU"/>
        </w:rPr>
        <w:t xml:space="preserve">, </w:t>
      </w:r>
      <w:r w:rsidRPr="001325AF">
        <w:rPr>
          <w:rFonts w:ascii="Times New Roman" w:eastAsia="Times New Roman" w:hAnsi="Times New Roman" w:cs="Times New Roman"/>
          <w:color w:val="000000" w:themeColor="text1"/>
          <w:sz w:val="28"/>
          <w:szCs w:val="28"/>
          <w:lang w:eastAsia="ru-RU"/>
        </w:rPr>
        <w:t>.</w:t>
      </w:r>
      <w:proofErr w:type="gramEnd"/>
    </w:p>
    <w:p w14:paraId="3F24BAAC" w14:textId="7BED6FB7"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Станом на 01 січня 2021 року на території громади здійснює економічну діяльність </w:t>
      </w:r>
      <w:r w:rsidR="00C25066" w:rsidRPr="001325AF">
        <w:rPr>
          <w:rFonts w:ascii="Times New Roman" w:eastAsia="Times New Roman" w:hAnsi="Times New Roman" w:cs="Times New Roman"/>
          <w:color w:val="000000" w:themeColor="text1"/>
          <w:sz w:val="28"/>
          <w:szCs w:val="28"/>
          <w:lang w:val="uk-UA" w:eastAsia="ru-RU"/>
        </w:rPr>
        <w:t>54</w:t>
      </w:r>
      <w:r w:rsidRPr="001325AF">
        <w:rPr>
          <w:rFonts w:ascii="Times New Roman" w:eastAsia="Times New Roman" w:hAnsi="Times New Roman" w:cs="Times New Roman"/>
          <w:color w:val="000000" w:themeColor="text1"/>
          <w:sz w:val="28"/>
          <w:szCs w:val="28"/>
          <w:lang w:eastAsia="ru-RU"/>
        </w:rPr>
        <w:t xml:space="preserve"> товариств із обмеженою відповідальністю, </w:t>
      </w:r>
      <w:r w:rsidR="00C25066" w:rsidRPr="001325AF">
        <w:rPr>
          <w:rFonts w:ascii="Times New Roman" w:eastAsia="Times New Roman" w:hAnsi="Times New Roman" w:cs="Times New Roman"/>
          <w:color w:val="000000" w:themeColor="text1"/>
          <w:sz w:val="28"/>
          <w:szCs w:val="28"/>
          <w:lang w:val="uk-UA" w:eastAsia="ru-RU"/>
        </w:rPr>
        <w:t>близько 320</w:t>
      </w:r>
      <w:r w:rsidRPr="001325AF">
        <w:rPr>
          <w:rFonts w:ascii="Times New Roman" w:eastAsia="Times New Roman" w:hAnsi="Times New Roman" w:cs="Times New Roman"/>
          <w:color w:val="000000" w:themeColor="text1"/>
          <w:sz w:val="28"/>
          <w:szCs w:val="28"/>
          <w:lang w:eastAsia="ru-RU"/>
        </w:rPr>
        <w:t xml:space="preserve"> фізичних осіб-підприємців та </w:t>
      </w:r>
      <w:r w:rsidR="001325AF" w:rsidRPr="001325AF">
        <w:rPr>
          <w:rFonts w:ascii="Times New Roman" w:eastAsia="Times New Roman" w:hAnsi="Times New Roman" w:cs="Times New Roman"/>
          <w:color w:val="000000" w:themeColor="text1"/>
          <w:sz w:val="28"/>
          <w:szCs w:val="28"/>
          <w:lang w:val="uk-UA" w:eastAsia="ru-RU"/>
        </w:rPr>
        <w:t>17</w:t>
      </w:r>
      <w:r w:rsidRPr="001325AF">
        <w:rPr>
          <w:rFonts w:ascii="Times New Roman" w:eastAsia="Times New Roman" w:hAnsi="Times New Roman" w:cs="Times New Roman"/>
          <w:color w:val="000000" w:themeColor="text1"/>
          <w:sz w:val="28"/>
          <w:szCs w:val="28"/>
          <w:lang w:eastAsia="ru-RU"/>
        </w:rPr>
        <w:t xml:space="preserve"> селянських фермерських господарств. Основна частина ФОП зайнята в торгівлі, інші ж здійснюють діяльність у сфері сільського господарства або надають побутові послуги.</w:t>
      </w:r>
    </w:p>
    <w:p w14:paraId="7F1A26DB" w14:textId="364F347A"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Найпоширеніша спеціалізація сільськогосподарських господарств на території громади – це рослинництво. Здебільшого в громаді вирощують пшеницю, соняшник та </w:t>
      </w:r>
      <w:r w:rsidR="00C62161" w:rsidRPr="001325AF">
        <w:rPr>
          <w:rFonts w:ascii="Times New Roman" w:eastAsia="Times New Roman" w:hAnsi="Times New Roman" w:cs="Times New Roman"/>
          <w:color w:val="000000" w:themeColor="text1"/>
          <w:sz w:val="28"/>
          <w:szCs w:val="28"/>
          <w:lang w:val="uk-UA" w:eastAsia="ru-RU"/>
        </w:rPr>
        <w:t>кукурудзу</w:t>
      </w:r>
      <w:r w:rsidRPr="001325AF">
        <w:rPr>
          <w:rFonts w:ascii="Times New Roman" w:eastAsia="Times New Roman" w:hAnsi="Times New Roman" w:cs="Times New Roman"/>
          <w:color w:val="000000" w:themeColor="text1"/>
          <w:sz w:val="28"/>
          <w:szCs w:val="28"/>
          <w:lang w:eastAsia="ru-RU"/>
        </w:rPr>
        <w:t>.</w:t>
      </w:r>
    </w:p>
    <w:p w14:paraId="29519F9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Одним з пріоритетних напрямків роботи органів місцевого самоврядування у 2022-2024 роках буде співпраця із активним населенням громади та бізнесом.</w:t>
      </w:r>
    </w:p>
    <w:p w14:paraId="3B650DD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Будуть підтримуватися всі ініціативи направлені на:</w:t>
      </w:r>
    </w:p>
    <w:p w14:paraId="2ED1001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розвиток соціально-економічної сфери;</w:t>
      </w:r>
    </w:p>
    <w:p w14:paraId="22FC7BE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підтримку благоустрою;</w:t>
      </w:r>
    </w:p>
    <w:p w14:paraId="4B29D35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розвиток туристичного та культурного потенціалу;</w:t>
      </w:r>
    </w:p>
    <w:p w14:paraId="1E9E621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співпрацю бізнесу та влади;</w:t>
      </w:r>
    </w:p>
    <w:p w14:paraId="3D25D4E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поширення інформації про громаду;</w:t>
      </w:r>
    </w:p>
    <w:p w14:paraId="6F64DBB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здобутки жителів громади у спортивній сфері.</w:t>
      </w:r>
    </w:p>
    <w:p w14:paraId="0B4DA76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Цілі соціально-економічного розвитку громади:</w:t>
      </w:r>
    </w:p>
    <w:p w14:paraId="3D1B6BE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1. Економічний розвиток громади та підвищення конкурентоздатності.</w:t>
      </w:r>
    </w:p>
    <w:p w14:paraId="6006C50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2. Розвиток інфраструктури громади та системи надання соціальних послуг.</w:t>
      </w:r>
    </w:p>
    <w:p w14:paraId="7EC13DA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3. Створення сприятливих умов для залучення інвестицій.</w:t>
      </w:r>
    </w:p>
    <w:p w14:paraId="56685FDA" w14:textId="7A2D1FFE"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ІІІ. Загальні показники бюджету</w:t>
      </w:r>
    </w:p>
    <w:p w14:paraId="303142B1"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7D322301"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 бюджету на 2022-2024 роки включає прогнозні показники        бюджету громади за основними видами доходів, фінансування, видатків і кредитування, а також прогнозні показники за бюджетними програмами, які забезпечують протягом декількох років виконання інвестиційних проектів.</w:t>
      </w:r>
    </w:p>
    <w:p w14:paraId="0775E46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проєкту бюджету селищної ради на 2022 рік. Формування проєкту бюджету на відповідний рік здійснюватиметься з урахуванням змін основних прогнозних показників економічного і соціального розвитку громади, а також змін у нормативно-правовій базі.</w:t>
      </w:r>
    </w:p>
    <w:p w14:paraId="50C769BA" w14:textId="45DD3FE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Обсяг ресурсу бюджету </w:t>
      </w:r>
      <w:r w:rsidR="003547E0">
        <w:rPr>
          <w:rFonts w:ascii="Times New Roman" w:eastAsia="Times New Roman" w:hAnsi="Times New Roman" w:cs="Times New Roman"/>
          <w:color w:val="000000"/>
          <w:sz w:val="28"/>
          <w:szCs w:val="28"/>
          <w:lang w:val="uk-UA" w:eastAsia="ru-RU"/>
        </w:rPr>
        <w:t>Красненської</w:t>
      </w:r>
      <w:r w:rsidRPr="00BF183E">
        <w:rPr>
          <w:rFonts w:ascii="Times New Roman" w:eastAsia="Times New Roman" w:hAnsi="Times New Roman" w:cs="Times New Roman"/>
          <w:color w:val="000000"/>
          <w:sz w:val="28"/>
          <w:szCs w:val="28"/>
          <w:lang w:eastAsia="ru-RU"/>
        </w:rPr>
        <w:t xml:space="preserve"> селищної ради на 2022-2024 роки прогнозується в обсягах</w:t>
      </w:r>
    </w:p>
    <w:p w14:paraId="0D2FF48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2022 рік:</w:t>
      </w:r>
    </w:p>
    <w:p w14:paraId="03C42DAB" w14:textId="5D92224B"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доходи та видатки місцевого бюджету у сумі </w:t>
      </w:r>
      <w:r w:rsidR="006E096D">
        <w:rPr>
          <w:rFonts w:ascii="Times New Roman" w:eastAsia="Times New Roman" w:hAnsi="Times New Roman" w:cs="Times New Roman"/>
          <w:color w:val="000000"/>
          <w:sz w:val="28"/>
          <w:szCs w:val="28"/>
          <w:lang w:val="uk-UA" w:eastAsia="ru-RU"/>
        </w:rPr>
        <w:t>135 839</w:t>
      </w:r>
      <w:r w:rsidR="007012A0">
        <w:rPr>
          <w:rFonts w:ascii="Times New Roman" w:eastAsia="Times New Roman" w:hAnsi="Times New Roman" w:cs="Times New Roman"/>
          <w:color w:val="000000"/>
          <w:sz w:val="28"/>
          <w:szCs w:val="28"/>
          <w:lang w:val="uk-UA" w:eastAsia="ru-RU"/>
        </w:rPr>
        <w:t> </w:t>
      </w:r>
      <w:r w:rsidR="006E096D">
        <w:rPr>
          <w:rFonts w:ascii="Times New Roman" w:eastAsia="Times New Roman" w:hAnsi="Times New Roman" w:cs="Times New Roman"/>
          <w:color w:val="000000"/>
          <w:sz w:val="28"/>
          <w:szCs w:val="28"/>
          <w:lang w:val="uk-UA" w:eastAsia="ru-RU"/>
        </w:rPr>
        <w:t>063</w:t>
      </w:r>
      <w:r w:rsidR="007012A0">
        <w:rPr>
          <w:rFonts w:ascii="Times New Roman" w:eastAsia="Times New Roman" w:hAnsi="Times New Roman" w:cs="Times New Roman"/>
          <w:color w:val="000000"/>
          <w:sz w:val="28"/>
          <w:szCs w:val="28"/>
          <w:lang w:val="uk-UA" w:eastAsia="ru-RU"/>
        </w:rPr>
        <w:t>,00</w:t>
      </w:r>
      <w:r w:rsidRPr="00BF183E">
        <w:rPr>
          <w:rFonts w:ascii="Times New Roman" w:eastAsia="Times New Roman" w:hAnsi="Times New Roman" w:cs="Times New Roman"/>
          <w:color w:val="000000"/>
          <w:sz w:val="28"/>
          <w:szCs w:val="28"/>
          <w:lang w:eastAsia="ru-RU"/>
        </w:rPr>
        <w:t xml:space="preserve"> грн, у тому числі: загального фонду </w:t>
      </w:r>
      <w:r w:rsidR="007012A0">
        <w:rPr>
          <w:rFonts w:ascii="Times New Roman" w:eastAsia="Times New Roman" w:hAnsi="Times New Roman" w:cs="Times New Roman"/>
          <w:color w:val="000000"/>
          <w:sz w:val="28"/>
          <w:szCs w:val="28"/>
          <w:lang w:val="uk-UA" w:eastAsia="ru-RU"/>
        </w:rPr>
        <w:t>135 117 563,00</w:t>
      </w:r>
      <w:r w:rsidRPr="00BF183E">
        <w:rPr>
          <w:rFonts w:ascii="Times New Roman" w:eastAsia="Times New Roman" w:hAnsi="Times New Roman" w:cs="Times New Roman"/>
          <w:color w:val="000000"/>
          <w:sz w:val="28"/>
          <w:szCs w:val="28"/>
          <w:lang w:eastAsia="ru-RU"/>
        </w:rPr>
        <w:t xml:space="preserve"> грн; спеціального фонду </w:t>
      </w:r>
      <w:r w:rsidR="007012A0">
        <w:rPr>
          <w:rFonts w:ascii="Times New Roman" w:eastAsia="Times New Roman" w:hAnsi="Times New Roman" w:cs="Times New Roman"/>
          <w:color w:val="000000"/>
          <w:sz w:val="28"/>
          <w:szCs w:val="28"/>
          <w:lang w:val="uk-UA" w:eastAsia="ru-RU"/>
        </w:rPr>
        <w:t>721 500,00</w:t>
      </w:r>
      <w:r w:rsidRPr="00BF183E">
        <w:rPr>
          <w:rFonts w:ascii="Times New Roman" w:eastAsia="Times New Roman" w:hAnsi="Times New Roman" w:cs="Times New Roman"/>
          <w:color w:val="000000"/>
          <w:sz w:val="28"/>
          <w:szCs w:val="28"/>
          <w:lang w:eastAsia="ru-RU"/>
        </w:rPr>
        <w:t xml:space="preserve"> грн;</w:t>
      </w:r>
    </w:p>
    <w:p w14:paraId="1818B81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2023 рік:</w:t>
      </w:r>
    </w:p>
    <w:p w14:paraId="075A0779" w14:textId="5D87F746"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доходи та видатки місцевого бюджету у сумі </w:t>
      </w:r>
      <w:r w:rsidR="007012A0">
        <w:rPr>
          <w:rFonts w:ascii="Times New Roman" w:eastAsia="Times New Roman" w:hAnsi="Times New Roman" w:cs="Times New Roman"/>
          <w:color w:val="000000"/>
          <w:sz w:val="28"/>
          <w:szCs w:val="28"/>
          <w:lang w:val="uk-UA" w:eastAsia="ru-RU"/>
        </w:rPr>
        <w:t>146 047 653</w:t>
      </w:r>
      <w:r w:rsidRPr="00BF183E">
        <w:rPr>
          <w:rFonts w:ascii="Times New Roman" w:eastAsia="Times New Roman" w:hAnsi="Times New Roman" w:cs="Times New Roman"/>
          <w:color w:val="000000"/>
          <w:sz w:val="28"/>
          <w:szCs w:val="28"/>
          <w:lang w:eastAsia="ru-RU"/>
        </w:rPr>
        <w:t xml:space="preserve">,00 грн, у тому числі: загального фонду – </w:t>
      </w:r>
      <w:r w:rsidR="007012A0">
        <w:rPr>
          <w:rFonts w:ascii="Times New Roman" w:eastAsia="Times New Roman" w:hAnsi="Times New Roman" w:cs="Times New Roman"/>
          <w:color w:val="000000"/>
          <w:sz w:val="28"/>
          <w:szCs w:val="28"/>
          <w:lang w:val="uk-UA" w:eastAsia="ru-RU"/>
        </w:rPr>
        <w:t>145 296 153</w:t>
      </w:r>
      <w:r w:rsidRPr="00BF183E">
        <w:rPr>
          <w:rFonts w:ascii="Times New Roman" w:eastAsia="Times New Roman" w:hAnsi="Times New Roman" w:cs="Times New Roman"/>
          <w:color w:val="000000"/>
          <w:sz w:val="28"/>
          <w:szCs w:val="28"/>
          <w:lang w:eastAsia="ru-RU"/>
        </w:rPr>
        <w:t xml:space="preserve">,00 грн, спеціального фонду – </w:t>
      </w:r>
      <w:r w:rsidR="007012A0">
        <w:rPr>
          <w:rFonts w:ascii="Times New Roman" w:eastAsia="Times New Roman" w:hAnsi="Times New Roman" w:cs="Times New Roman"/>
          <w:color w:val="000000"/>
          <w:sz w:val="28"/>
          <w:szCs w:val="28"/>
          <w:lang w:val="uk-UA" w:eastAsia="ru-RU"/>
        </w:rPr>
        <w:t>751 500</w:t>
      </w:r>
      <w:r w:rsidRPr="00BF183E">
        <w:rPr>
          <w:rFonts w:ascii="Times New Roman" w:eastAsia="Times New Roman" w:hAnsi="Times New Roman" w:cs="Times New Roman"/>
          <w:color w:val="000000"/>
          <w:sz w:val="28"/>
          <w:szCs w:val="28"/>
          <w:lang w:eastAsia="ru-RU"/>
        </w:rPr>
        <w:t>,00 грн;</w:t>
      </w:r>
    </w:p>
    <w:p w14:paraId="23DD4F4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2024 рік:</w:t>
      </w:r>
    </w:p>
    <w:p w14:paraId="7C37119C" w14:textId="10D7E70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доходи та видатки місцевого бюджету у сумі </w:t>
      </w:r>
      <w:r w:rsidR="007012A0">
        <w:rPr>
          <w:rFonts w:ascii="Times New Roman" w:eastAsia="Times New Roman" w:hAnsi="Times New Roman" w:cs="Times New Roman"/>
          <w:color w:val="000000"/>
          <w:sz w:val="28"/>
          <w:szCs w:val="28"/>
          <w:lang w:val="uk-UA" w:eastAsia="ru-RU"/>
        </w:rPr>
        <w:t>155 086 525</w:t>
      </w:r>
      <w:r w:rsidRPr="00BF183E">
        <w:rPr>
          <w:rFonts w:ascii="Times New Roman" w:eastAsia="Times New Roman" w:hAnsi="Times New Roman" w:cs="Times New Roman"/>
          <w:color w:val="000000"/>
          <w:sz w:val="28"/>
          <w:szCs w:val="28"/>
          <w:lang w:eastAsia="ru-RU"/>
        </w:rPr>
        <w:t xml:space="preserve">,00 грн, у тому числі: загального фонду – </w:t>
      </w:r>
      <w:r w:rsidR="007012A0">
        <w:rPr>
          <w:rFonts w:ascii="Times New Roman" w:eastAsia="Times New Roman" w:hAnsi="Times New Roman" w:cs="Times New Roman"/>
          <w:color w:val="000000"/>
          <w:sz w:val="28"/>
          <w:szCs w:val="28"/>
          <w:lang w:val="uk-UA" w:eastAsia="ru-RU"/>
        </w:rPr>
        <w:t>154 294 025</w:t>
      </w:r>
      <w:r w:rsidRPr="00BF183E">
        <w:rPr>
          <w:rFonts w:ascii="Times New Roman" w:eastAsia="Times New Roman" w:hAnsi="Times New Roman" w:cs="Times New Roman"/>
          <w:color w:val="000000"/>
          <w:sz w:val="28"/>
          <w:szCs w:val="28"/>
          <w:lang w:eastAsia="ru-RU"/>
        </w:rPr>
        <w:t xml:space="preserve">,00 грн, спеціального фонду – </w:t>
      </w:r>
      <w:r w:rsidR="007012A0">
        <w:rPr>
          <w:rFonts w:ascii="Times New Roman" w:eastAsia="Times New Roman" w:hAnsi="Times New Roman" w:cs="Times New Roman"/>
          <w:color w:val="000000"/>
          <w:sz w:val="28"/>
          <w:szCs w:val="28"/>
          <w:lang w:val="uk-UA" w:eastAsia="ru-RU"/>
        </w:rPr>
        <w:t>792 500</w:t>
      </w:r>
      <w:r w:rsidRPr="00BF183E">
        <w:rPr>
          <w:rFonts w:ascii="Times New Roman" w:eastAsia="Times New Roman" w:hAnsi="Times New Roman" w:cs="Times New Roman"/>
          <w:color w:val="000000"/>
          <w:sz w:val="28"/>
          <w:szCs w:val="28"/>
          <w:lang w:eastAsia="ru-RU"/>
        </w:rPr>
        <w:t>,00 грн.</w:t>
      </w:r>
    </w:p>
    <w:p w14:paraId="67AB7E10" w14:textId="25AC6EB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У співставних умовах середньорічний темп росту надходжень та витрат складає </w:t>
      </w:r>
      <w:r w:rsidR="007012A0">
        <w:rPr>
          <w:rFonts w:ascii="Times New Roman" w:eastAsia="Times New Roman" w:hAnsi="Times New Roman" w:cs="Times New Roman"/>
          <w:color w:val="000000"/>
          <w:sz w:val="28"/>
          <w:szCs w:val="28"/>
          <w:lang w:val="uk-UA" w:eastAsia="ru-RU"/>
        </w:rPr>
        <w:t>6,5</w:t>
      </w:r>
      <w:r w:rsidRPr="00BF183E">
        <w:rPr>
          <w:rFonts w:ascii="Times New Roman" w:eastAsia="Times New Roman" w:hAnsi="Times New Roman" w:cs="Times New Roman"/>
          <w:color w:val="000000"/>
          <w:sz w:val="28"/>
          <w:szCs w:val="28"/>
          <w:lang w:eastAsia="ru-RU"/>
        </w:rPr>
        <w:t xml:space="preserve"> %. Загальні показники надходжень </w:t>
      </w:r>
      <w:proofErr w:type="gramStart"/>
      <w:r w:rsidRPr="00BF183E">
        <w:rPr>
          <w:rFonts w:ascii="Times New Roman" w:eastAsia="Times New Roman" w:hAnsi="Times New Roman" w:cs="Times New Roman"/>
          <w:color w:val="000000"/>
          <w:sz w:val="28"/>
          <w:szCs w:val="28"/>
          <w:lang w:eastAsia="ru-RU"/>
        </w:rPr>
        <w:t>до бюджету</w:t>
      </w:r>
      <w:proofErr w:type="gramEnd"/>
      <w:r w:rsidRPr="00BF183E">
        <w:rPr>
          <w:rFonts w:ascii="Times New Roman" w:eastAsia="Times New Roman" w:hAnsi="Times New Roman" w:cs="Times New Roman"/>
          <w:color w:val="000000"/>
          <w:sz w:val="28"/>
          <w:szCs w:val="28"/>
          <w:lang w:eastAsia="ru-RU"/>
        </w:rPr>
        <w:t xml:space="preserve"> та граничні </w:t>
      </w:r>
      <w:r w:rsidRPr="00BF183E">
        <w:rPr>
          <w:rFonts w:ascii="Times New Roman" w:eastAsia="Times New Roman" w:hAnsi="Times New Roman" w:cs="Times New Roman"/>
          <w:color w:val="000000"/>
          <w:sz w:val="28"/>
          <w:szCs w:val="28"/>
          <w:lang w:eastAsia="ru-RU"/>
        </w:rPr>
        <w:lastRenderedPageBreak/>
        <w:t>показники видатків бюджету та надання кредитів з бюджету у розрізі років середньострокового періоду наведені у додатку 1 до проекту прогнозу бюджету.</w:t>
      </w:r>
    </w:p>
    <w:p w14:paraId="39101756" w14:textId="6CD85E09"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ІV. Показники доходів бюджету</w:t>
      </w:r>
    </w:p>
    <w:p w14:paraId="439C6206"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395C0AD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 дохідної частини бюджету громади розроблено відповідно до норм бюджетно-податкового законодавства, основних прогнозних макропоказників економічного і соціального розвитку України та </w:t>
      </w:r>
      <w:proofErr w:type="gramStart"/>
      <w:r w:rsidRPr="00BF183E">
        <w:rPr>
          <w:rFonts w:ascii="Times New Roman" w:eastAsia="Times New Roman" w:hAnsi="Times New Roman" w:cs="Times New Roman"/>
          <w:color w:val="000000"/>
          <w:sz w:val="28"/>
          <w:szCs w:val="28"/>
          <w:lang w:eastAsia="ru-RU"/>
        </w:rPr>
        <w:t>громади,  особливостей</w:t>
      </w:r>
      <w:proofErr w:type="gramEnd"/>
      <w:r w:rsidRPr="00BF183E">
        <w:rPr>
          <w:rFonts w:ascii="Times New Roman" w:eastAsia="Times New Roman" w:hAnsi="Times New Roman" w:cs="Times New Roman"/>
          <w:color w:val="000000"/>
          <w:sz w:val="28"/>
          <w:szCs w:val="28"/>
          <w:lang w:eastAsia="ru-RU"/>
        </w:rPr>
        <w:t xml:space="preserve"> податкової політики, передбачених Бюджетною декларацією на 2022-2024 роки, положень нормативно-правових актів селищної ради про встановлення місцевих податків і зборів.</w:t>
      </w:r>
    </w:p>
    <w:p w14:paraId="1B17E63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З метою розширення податкової бази та залучення додаткових </w:t>
      </w:r>
      <w:proofErr w:type="gramStart"/>
      <w:r w:rsidRPr="00BF183E">
        <w:rPr>
          <w:rFonts w:ascii="Times New Roman" w:eastAsia="Times New Roman" w:hAnsi="Times New Roman" w:cs="Times New Roman"/>
          <w:color w:val="000000"/>
          <w:sz w:val="28"/>
          <w:szCs w:val="28"/>
          <w:lang w:eastAsia="ru-RU"/>
        </w:rPr>
        <w:t>надходжень  до</w:t>
      </w:r>
      <w:proofErr w:type="gramEnd"/>
      <w:r w:rsidRPr="00BF183E">
        <w:rPr>
          <w:rFonts w:ascii="Times New Roman" w:eastAsia="Times New Roman" w:hAnsi="Times New Roman" w:cs="Times New Roman"/>
          <w:color w:val="000000"/>
          <w:sz w:val="28"/>
          <w:szCs w:val="28"/>
          <w:lang w:eastAsia="ru-RU"/>
        </w:rPr>
        <w:t xml:space="preserve"> бюджету громади визначено такі пріоритетні завдання:</w:t>
      </w:r>
    </w:p>
    <w:p w14:paraId="7EE6BFB6"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сприяння розвитку бюджетоутворюючих підприємств, розширенню діючих виробничих потужностей, збільшенню виробництва продукції;</w:t>
      </w:r>
    </w:p>
    <w:p w14:paraId="7555A81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поліпшення економічних, правових та організаційних умов для залучення інвестиційних ресурсів та задіяння земельного потенціалу громади;</w:t>
      </w:r>
    </w:p>
    <w:p w14:paraId="721F829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впровадження заходів, спрямованих на дерегуляцію підприємницької діяльності, поліпшення бізнес-клімату.</w:t>
      </w:r>
    </w:p>
    <w:p w14:paraId="3DE249F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Для виконання пріоритетних завдань передбачається здійснити наступні заходи:</w:t>
      </w:r>
    </w:p>
    <w:p w14:paraId="2D3BE0CC"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створити нові робочі місця, провести в установленому порядку перевірки фінансово-господарської діяльності </w:t>
      </w:r>
      <w:proofErr w:type="gramStart"/>
      <w:r w:rsidRPr="00BF183E">
        <w:rPr>
          <w:rFonts w:ascii="Times New Roman" w:eastAsia="Times New Roman" w:hAnsi="Times New Roman" w:cs="Times New Roman"/>
          <w:color w:val="000000"/>
          <w:sz w:val="28"/>
          <w:szCs w:val="28"/>
          <w:lang w:eastAsia="ru-RU"/>
        </w:rPr>
        <w:t>суб’єктів  господарювання</w:t>
      </w:r>
      <w:proofErr w:type="gramEnd"/>
      <w:r w:rsidRPr="00BF183E">
        <w:rPr>
          <w:rFonts w:ascii="Times New Roman" w:eastAsia="Times New Roman" w:hAnsi="Times New Roman" w:cs="Times New Roman"/>
          <w:color w:val="000000"/>
          <w:sz w:val="28"/>
          <w:szCs w:val="28"/>
          <w:lang w:eastAsia="ru-RU"/>
        </w:rPr>
        <w:t xml:space="preserve"> щодо дотримання норм законодавства в частині оплати праці у розмірі не менше мінімальної заробітної плати. Очікуваний результат – підвищення рівня зайнятості та соціального забезпечення населення, зростання надходжень податку на доходи фізичних осіб;</w:t>
      </w:r>
    </w:p>
    <w:p w14:paraId="6D2BACB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провести інвентаризацію земельних ділянок, перегляд укладених </w:t>
      </w:r>
      <w:proofErr w:type="gramStart"/>
      <w:r w:rsidRPr="00BF183E">
        <w:rPr>
          <w:rFonts w:ascii="Times New Roman" w:eastAsia="Times New Roman" w:hAnsi="Times New Roman" w:cs="Times New Roman"/>
          <w:color w:val="000000"/>
          <w:sz w:val="28"/>
          <w:szCs w:val="28"/>
          <w:lang w:eastAsia="ru-RU"/>
        </w:rPr>
        <w:t>договорів  оренди</w:t>
      </w:r>
      <w:proofErr w:type="gramEnd"/>
      <w:r w:rsidRPr="00BF183E">
        <w:rPr>
          <w:rFonts w:ascii="Times New Roman" w:eastAsia="Times New Roman" w:hAnsi="Times New Roman" w:cs="Times New Roman"/>
          <w:color w:val="000000"/>
          <w:sz w:val="28"/>
          <w:szCs w:val="28"/>
          <w:lang w:eastAsia="ru-RU"/>
        </w:rPr>
        <w:t xml:space="preserve"> земельних ділянок на предмет відповідності розміру орендної плати нормам Податкового кодексу України, що забезпечить задіяння земельного потенціалу громади для залучення інвестицій, збільшення надходжень плати за землю;</w:t>
      </w:r>
    </w:p>
    <w:p w14:paraId="3F8D50E1"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організація реєстрації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w:t>
      </w:r>
    </w:p>
    <w:p w14:paraId="2B649956"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проводити моніторинг податкового боргу платників податків </w:t>
      </w:r>
      <w:proofErr w:type="gramStart"/>
      <w:r w:rsidRPr="00BF183E">
        <w:rPr>
          <w:rFonts w:ascii="Times New Roman" w:eastAsia="Times New Roman" w:hAnsi="Times New Roman" w:cs="Times New Roman"/>
          <w:color w:val="000000"/>
          <w:sz w:val="28"/>
          <w:szCs w:val="28"/>
          <w:lang w:eastAsia="ru-RU"/>
        </w:rPr>
        <w:t>до бюджету</w:t>
      </w:r>
      <w:proofErr w:type="gramEnd"/>
      <w:r w:rsidRPr="00BF183E">
        <w:rPr>
          <w:rFonts w:ascii="Times New Roman" w:eastAsia="Times New Roman" w:hAnsi="Times New Roman" w:cs="Times New Roman"/>
          <w:color w:val="000000"/>
          <w:sz w:val="28"/>
          <w:szCs w:val="28"/>
          <w:lang w:eastAsia="ru-RU"/>
        </w:rPr>
        <w:t xml:space="preserve"> та провести претензійно-позовну роботу щодо його зменшення.</w:t>
      </w:r>
    </w:p>
    <w:p w14:paraId="4D5B4AA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xml:space="preserve">Прогнозні показники доходів бюджету сформовані </w:t>
      </w:r>
      <w:proofErr w:type="gramStart"/>
      <w:r w:rsidRPr="00BF183E">
        <w:rPr>
          <w:rFonts w:ascii="Times New Roman" w:eastAsia="Times New Roman" w:hAnsi="Times New Roman" w:cs="Times New Roman"/>
          <w:color w:val="000000"/>
          <w:sz w:val="28"/>
          <w:szCs w:val="28"/>
          <w:lang w:eastAsia="ru-RU"/>
        </w:rPr>
        <w:t>на  основі</w:t>
      </w:r>
      <w:proofErr w:type="gramEnd"/>
      <w:r w:rsidRPr="00BF183E">
        <w:rPr>
          <w:rFonts w:ascii="Times New Roman" w:eastAsia="Times New Roman" w:hAnsi="Times New Roman" w:cs="Times New Roman"/>
          <w:color w:val="000000"/>
          <w:sz w:val="28"/>
          <w:szCs w:val="28"/>
          <w:lang w:eastAsia="ru-RU"/>
        </w:rPr>
        <w:t xml:space="preserve"> існуючої податкової бази та реалізації пріоритетних завдань із розширення її потенціалу. Показники доходів бюджету громади наведені в додатку 2 </w:t>
      </w:r>
      <w:proofErr w:type="gramStart"/>
      <w:r w:rsidRPr="00BF183E">
        <w:rPr>
          <w:rFonts w:ascii="Times New Roman" w:eastAsia="Times New Roman" w:hAnsi="Times New Roman" w:cs="Times New Roman"/>
          <w:color w:val="000000"/>
          <w:sz w:val="28"/>
          <w:szCs w:val="28"/>
          <w:lang w:eastAsia="ru-RU"/>
        </w:rPr>
        <w:t>до прогнозу</w:t>
      </w:r>
      <w:proofErr w:type="gramEnd"/>
      <w:r w:rsidRPr="00BF183E">
        <w:rPr>
          <w:rFonts w:ascii="Times New Roman" w:eastAsia="Times New Roman" w:hAnsi="Times New Roman" w:cs="Times New Roman"/>
          <w:color w:val="000000"/>
          <w:sz w:val="28"/>
          <w:szCs w:val="28"/>
          <w:lang w:eastAsia="ru-RU"/>
        </w:rPr>
        <w:t xml:space="preserve"> бюджету.</w:t>
      </w:r>
    </w:p>
    <w:p w14:paraId="424C2E1B" w14:textId="73206468"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В структурі доходів </w:t>
      </w:r>
      <w:r w:rsidR="007012A0">
        <w:rPr>
          <w:rFonts w:ascii="Times New Roman" w:eastAsia="Times New Roman" w:hAnsi="Times New Roman" w:cs="Times New Roman"/>
          <w:color w:val="000000"/>
          <w:sz w:val="28"/>
          <w:szCs w:val="28"/>
          <w:lang w:val="uk-UA" w:eastAsia="ru-RU"/>
        </w:rPr>
        <w:t>меншу</w:t>
      </w:r>
      <w:r w:rsidRPr="00BF183E">
        <w:rPr>
          <w:rFonts w:ascii="Times New Roman" w:eastAsia="Times New Roman" w:hAnsi="Times New Roman" w:cs="Times New Roman"/>
          <w:color w:val="000000"/>
          <w:sz w:val="28"/>
          <w:szCs w:val="28"/>
          <w:lang w:eastAsia="ru-RU"/>
        </w:rPr>
        <w:t xml:space="preserve"> частку становитимуть податкові та неподаткові надходження – майже </w:t>
      </w:r>
      <w:r w:rsidR="007012A0">
        <w:rPr>
          <w:rFonts w:ascii="Times New Roman" w:eastAsia="Times New Roman" w:hAnsi="Times New Roman" w:cs="Times New Roman"/>
          <w:color w:val="000000"/>
          <w:sz w:val="28"/>
          <w:szCs w:val="28"/>
          <w:lang w:val="uk-UA" w:eastAsia="ru-RU"/>
        </w:rPr>
        <w:t>40</w:t>
      </w:r>
      <w:r w:rsidRPr="00BF183E">
        <w:rPr>
          <w:rFonts w:ascii="Times New Roman" w:eastAsia="Times New Roman" w:hAnsi="Times New Roman" w:cs="Times New Roman"/>
          <w:color w:val="000000"/>
          <w:sz w:val="28"/>
          <w:szCs w:val="28"/>
          <w:lang w:eastAsia="ru-RU"/>
        </w:rPr>
        <w:t xml:space="preserve">%; міжбюджетні трансферти – </w:t>
      </w:r>
      <w:r w:rsidR="007012A0">
        <w:rPr>
          <w:rFonts w:ascii="Times New Roman" w:eastAsia="Times New Roman" w:hAnsi="Times New Roman" w:cs="Times New Roman"/>
          <w:color w:val="000000"/>
          <w:sz w:val="28"/>
          <w:szCs w:val="28"/>
          <w:lang w:val="uk-UA" w:eastAsia="ru-RU"/>
        </w:rPr>
        <w:t>60</w:t>
      </w:r>
      <w:r w:rsidRPr="00BF183E">
        <w:rPr>
          <w:rFonts w:ascii="Times New Roman" w:eastAsia="Times New Roman" w:hAnsi="Times New Roman" w:cs="Times New Roman"/>
          <w:color w:val="000000"/>
          <w:sz w:val="28"/>
          <w:szCs w:val="28"/>
          <w:lang w:eastAsia="ru-RU"/>
        </w:rPr>
        <w:t xml:space="preserve"> %.</w:t>
      </w:r>
    </w:p>
    <w:p w14:paraId="7F918D2F" w14:textId="16055851"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 та податок на доходи фізичних осіб з грошового забезпечення</w:t>
      </w:r>
      <w:r w:rsidR="007012A0">
        <w:rPr>
          <w:rFonts w:ascii="Times New Roman" w:eastAsia="Times New Roman" w:hAnsi="Times New Roman" w:cs="Times New Roman"/>
          <w:color w:val="000000"/>
          <w:sz w:val="28"/>
          <w:szCs w:val="28"/>
          <w:lang w:val="uk-UA" w:eastAsia="ru-RU"/>
        </w:rPr>
        <w:t xml:space="preserve">, податок на майно, єдиний податок </w:t>
      </w:r>
      <w:r w:rsidRPr="00BF183E">
        <w:rPr>
          <w:rFonts w:ascii="Times New Roman" w:eastAsia="Times New Roman" w:hAnsi="Times New Roman" w:cs="Times New Roman"/>
          <w:color w:val="000000"/>
          <w:sz w:val="28"/>
          <w:szCs w:val="28"/>
          <w:lang w:eastAsia="ru-RU"/>
        </w:rPr>
        <w:t xml:space="preserve">та інших виплат. Прогноз надходжень з податку 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 Темпи росту податку на доходи фізичних осіб прогнозуються у 2022 році на рівні </w:t>
      </w:r>
      <w:r w:rsidR="00520C68">
        <w:rPr>
          <w:rFonts w:ascii="Times New Roman" w:eastAsia="Times New Roman" w:hAnsi="Times New Roman" w:cs="Times New Roman"/>
          <w:color w:val="000000"/>
          <w:sz w:val="28"/>
          <w:szCs w:val="28"/>
          <w:lang w:val="uk-UA" w:eastAsia="ru-RU"/>
        </w:rPr>
        <w:t>12</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 у 2023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та у 2024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w:t>
      </w:r>
    </w:p>
    <w:p w14:paraId="34C2DF76" w14:textId="697B88F3" w:rsidR="00520C68" w:rsidRPr="00BF183E" w:rsidRDefault="00520C68" w:rsidP="00520C68">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Д</w:t>
      </w:r>
      <w:r w:rsidRPr="00BF183E">
        <w:rPr>
          <w:rFonts w:ascii="Times New Roman" w:eastAsia="Times New Roman" w:hAnsi="Times New Roman" w:cs="Times New Roman"/>
          <w:color w:val="000000"/>
          <w:sz w:val="28"/>
          <w:szCs w:val="28"/>
          <w:lang w:eastAsia="ru-RU"/>
        </w:rPr>
        <w:t>ругий бюджетоутворюючий податок</w:t>
      </w:r>
      <w:r>
        <w:rPr>
          <w:rFonts w:ascii="Times New Roman" w:eastAsia="Times New Roman" w:hAnsi="Times New Roman" w:cs="Times New Roman"/>
          <w:color w:val="000000"/>
          <w:sz w:val="28"/>
          <w:szCs w:val="28"/>
          <w:lang w:val="uk-UA" w:eastAsia="ru-RU"/>
        </w:rPr>
        <w:t xml:space="preserve"> – це податок на майно.</w:t>
      </w:r>
      <w:r w:rsidRPr="00520C68">
        <w:rPr>
          <w:rFonts w:ascii="Times New Roman" w:eastAsia="Times New Roman" w:hAnsi="Times New Roman" w:cs="Times New Roman"/>
          <w:color w:val="000000"/>
          <w:sz w:val="28"/>
          <w:szCs w:val="28"/>
          <w:lang w:eastAsia="ru-RU"/>
        </w:rPr>
        <w:t xml:space="preserve"> </w:t>
      </w:r>
      <w:r w:rsidRPr="00BF183E">
        <w:rPr>
          <w:rFonts w:ascii="Times New Roman" w:eastAsia="Times New Roman" w:hAnsi="Times New Roman" w:cs="Times New Roman"/>
          <w:color w:val="000000"/>
          <w:sz w:val="28"/>
          <w:szCs w:val="28"/>
          <w:lang w:eastAsia="ru-RU"/>
        </w:rPr>
        <w:t xml:space="preserve">Прогнозний обсяг єдиного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рішенням </w:t>
      </w:r>
      <w:r>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від </w:t>
      </w:r>
      <w:r w:rsidR="00D27414" w:rsidRPr="00D27414">
        <w:rPr>
          <w:rFonts w:ascii="Times New Roman" w:eastAsia="Times New Roman" w:hAnsi="Times New Roman" w:cs="Times New Roman"/>
          <w:sz w:val="28"/>
          <w:szCs w:val="28"/>
          <w:lang w:val="uk-UA" w:eastAsia="ru-RU"/>
        </w:rPr>
        <w:t>1</w:t>
      </w:r>
      <w:r w:rsidRPr="00D27414">
        <w:rPr>
          <w:rFonts w:ascii="Times New Roman" w:eastAsia="Times New Roman" w:hAnsi="Times New Roman" w:cs="Times New Roman"/>
          <w:sz w:val="28"/>
          <w:szCs w:val="28"/>
          <w:lang w:eastAsia="ru-RU"/>
        </w:rPr>
        <w:t xml:space="preserve">2 </w:t>
      </w:r>
      <w:r w:rsidR="00D27414" w:rsidRPr="00D27414">
        <w:rPr>
          <w:rFonts w:ascii="Times New Roman" w:eastAsia="Times New Roman" w:hAnsi="Times New Roman" w:cs="Times New Roman"/>
          <w:sz w:val="28"/>
          <w:szCs w:val="28"/>
          <w:lang w:val="uk-UA" w:eastAsia="ru-RU"/>
        </w:rPr>
        <w:t>лип</w:t>
      </w:r>
      <w:r w:rsidRPr="00D27414">
        <w:rPr>
          <w:rFonts w:ascii="Times New Roman" w:eastAsia="Times New Roman" w:hAnsi="Times New Roman" w:cs="Times New Roman"/>
          <w:sz w:val="28"/>
          <w:szCs w:val="28"/>
          <w:lang w:eastAsia="ru-RU"/>
        </w:rPr>
        <w:t>ня 2021 року №</w:t>
      </w:r>
      <w:proofErr w:type="gramStart"/>
      <w:r w:rsidR="00D27414"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FF0000"/>
          <w:sz w:val="28"/>
          <w:szCs w:val="28"/>
          <w:lang w:eastAsia="ru-RU"/>
        </w:rPr>
        <w:t xml:space="preserve"> </w:t>
      </w:r>
      <w:r w:rsidRPr="00BF183E">
        <w:rPr>
          <w:rFonts w:ascii="Times New Roman" w:eastAsia="Times New Roman" w:hAnsi="Times New Roman" w:cs="Times New Roman"/>
          <w:color w:val="000000"/>
          <w:sz w:val="28"/>
          <w:szCs w:val="28"/>
          <w:lang w:eastAsia="ru-RU"/>
        </w:rPr>
        <w:t>.</w:t>
      </w:r>
      <w:proofErr w:type="gramEnd"/>
      <w:r w:rsidRPr="00BF183E">
        <w:rPr>
          <w:rFonts w:ascii="Times New Roman" w:eastAsia="Times New Roman" w:hAnsi="Times New Roman" w:cs="Times New Roman"/>
          <w:color w:val="000000"/>
          <w:sz w:val="28"/>
          <w:szCs w:val="28"/>
          <w:lang w:eastAsia="ru-RU"/>
        </w:rPr>
        <w:t xml:space="preserve"> Темпи росту податку </w:t>
      </w:r>
      <w:r>
        <w:rPr>
          <w:rFonts w:ascii="Times New Roman" w:eastAsia="Times New Roman" w:hAnsi="Times New Roman" w:cs="Times New Roman"/>
          <w:color w:val="000000"/>
          <w:sz w:val="28"/>
          <w:szCs w:val="28"/>
          <w:lang w:val="uk-UA" w:eastAsia="ru-RU"/>
        </w:rPr>
        <w:t xml:space="preserve">на майно </w:t>
      </w:r>
      <w:r w:rsidRPr="00BF183E">
        <w:rPr>
          <w:rFonts w:ascii="Times New Roman" w:eastAsia="Times New Roman" w:hAnsi="Times New Roman" w:cs="Times New Roman"/>
          <w:color w:val="000000"/>
          <w:sz w:val="28"/>
          <w:szCs w:val="28"/>
          <w:lang w:eastAsia="ru-RU"/>
        </w:rPr>
        <w:t xml:space="preserve">прогнозуються у 2022 році на рівні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 xml:space="preserve"> %, у 2023 році – на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 xml:space="preserve"> % та у 2024 році – на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w:t>
      </w:r>
    </w:p>
    <w:p w14:paraId="0DE239F1" w14:textId="494EC6A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Єдиний податок – це </w:t>
      </w:r>
      <w:r w:rsidR="00520C68">
        <w:rPr>
          <w:rFonts w:ascii="Times New Roman" w:eastAsia="Times New Roman" w:hAnsi="Times New Roman" w:cs="Times New Roman"/>
          <w:color w:val="000000"/>
          <w:sz w:val="28"/>
          <w:szCs w:val="28"/>
          <w:lang w:val="uk-UA" w:eastAsia="ru-RU"/>
        </w:rPr>
        <w:t>третій</w:t>
      </w:r>
      <w:r w:rsidRPr="00BF183E">
        <w:rPr>
          <w:rFonts w:ascii="Times New Roman" w:eastAsia="Times New Roman" w:hAnsi="Times New Roman" w:cs="Times New Roman"/>
          <w:color w:val="000000"/>
          <w:sz w:val="28"/>
          <w:szCs w:val="28"/>
          <w:lang w:eastAsia="ru-RU"/>
        </w:rPr>
        <w:t xml:space="preserve"> бюджетоутворюючий податок. Прогнозний обсяг єдиного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рішенням </w:t>
      </w:r>
      <w:r w:rsidR="00520C68">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від </w:t>
      </w:r>
      <w:r w:rsidR="003D4126" w:rsidRPr="00D27414">
        <w:rPr>
          <w:rFonts w:ascii="Times New Roman" w:eastAsia="Times New Roman" w:hAnsi="Times New Roman" w:cs="Times New Roman"/>
          <w:sz w:val="28"/>
          <w:szCs w:val="28"/>
          <w:lang w:val="uk-UA" w:eastAsia="ru-RU"/>
        </w:rPr>
        <w:t>1</w:t>
      </w:r>
      <w:r w:rsidR="003D4126" w:rsidRPr="00D27414">
        <w:rPr>
          <w:rFonts w:ascii="Times New Roman" w:eastAsia="Times New Roman" w:hAnsi="Times New Roman" w:cs="Times New Roman"/>
          <w:sz w:val="28"/>
          <w:szCs w:val="28"/>
          <w:lang w:eastAsia="ru-RU"/>
        </w:rPr>
        <w:t xml:space="preserve">2 </w:t>
      </w:r>
      <w:r w:rsidR="003D4126" w:rsidRPr="00D27414">
        <w:rPr>
          <w:rFonts w:ascii="Times New Roman" w:eastAsia="Times New Roman" w:hAnsi="Times New Roman" w:cs="Times New Roman"/>
          <w:sz w:val="28"/>
          <w:szCs w:val="28"/>
          <w:lang w:val="uk-UA" w:eastAsia="ru-RU"/>
        </w:rPr>
        <w:t>лип</w:t>
      </w:r>
      <w:r w:rsidR="003D4126" w:rsidRPr="00D27414">
        <w:rPr>
          <w:rFonts w:ascii="Times New Roman" w:eastAsia="Times New Roman" w:hAnsi="Times New Roman" w:cs="Times New Roman"/>
          <w:sz w:val="28"/>
          <w:szCs w:val="28"/>
          <w:lang w:eastAsia="ru-RU"/>
        </w:rPr>
        <w:t>ня 2021 року №</w:t>
      </w:r>
      <w:r w:rsidR="003D4126"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xml:space="preserve">. Темпи росту єдиного податку прогнозуються у 2022 році на рівні </w:t>
      </w:r>
      <w:r w:rsidR="00520C68">
        <w:rPr>
          <w:rFonts w:ascii="Times New Roman" w:eastAsia="Times New Roman" w:hAnsi="Times New Roman" w:cs="Times New Roman"/>
          <w:color w:val="000000"/>
          <w:sz w:val="28"/>
          <w:szCs w:val="28"/>
          <w:lang w:val="uk-UA" w:eastAsia="ru-RU"/>
        </w:rPr>
        <w:t>3</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4</w:t>
      </w:r>
      <w:r w:rsidRPr="00BF183E">
        <w:rPr>
          <w:rFonts w:ascii="Times New Roman" w:eastAsia="Times New Roman" w:hAnsi="Times New Roman" w:cs="Times New Roman"/>
          <w:color w:val="000000"/>
          <w:sz w:val="28"/>
          <w:szCs w:val="28"/>
          <w:lang w:eastAsia="ru-RU"/>
        </w:rPr>
        <w:t xml:space="preserve"> %, у 2023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,1 %</w:t>
      </w:r>
      <w:r w:rsidR="00520C68">
        <w:rPr>
          <w:rFonts w:ascii="Times New Roman" w:eastAsia="Times New Roman" w:hAnsi="Times New Roman" w:cs="Times New Roman"/>
          <w:color w:val="000000"/>
          <w:sz w:val="28"/>
          <w:szCs w:val="28"/>
          <w:lang w:val="uk-UA" w:eastAsia="ru-RU"/>
        </w:rPr>
        <w:t>.</w:t>
      </w:r>
      <w:r w:rsidRPr="00BF183E">
        <w:rPr>
          <w:rFonts w:ascii="Times New Roman" w:eastAsia="Times New Roman" w:hAnsi="Times New Roman" w:cs="Times New Roman"/>
          <w:color w:val="000000"/>
          <w:sz w:val="28"/>
          <w:szCs w:val="28"/>
          <w:lang w:eastAsia="ru-RU"/>
        </w:rPr>
        <w:t xml:space="preserve"> </w:t>
      </w:r>
    </w:p>
    <w:p w14:paraId="5FA81C5E" w14:textId="77777777" w:rsidR="003D4126" w:rsidRPr="00BF183E" w:rsidRDefault="00BF183E" w:rsidP="003D4126">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Розрахунок прогнозної суми плати за землю на 2022-2024 роки проведено за підсумками фактичних надходжень за попередні роки, за ставками, визначеними рішеннями селищної ради, щодо земельного податку </w:t>
      </w:r>
      <w:r w:rsidR="003D4126" w:rsidRPr="00D27414">
        <w:rPr>
          <w:rFonts w:ascii="Times New Roman" w:eastAsia="Times New Roman" w:hAnsi="Times New Roman" w:cs="Times New Roman"/>
          <w:sz w:val="28"/>
          <w:szCs w:val="28"/>
          <w:lang w:val="uk-UA" w:eastAsia="ru-RU"/>
        </w:rPr>
        <w:t>1</w:t>
      </w:r>
      <w:r w:rsidR="003D4126" w:rsidRPr="00D27414">
        <w:rPr>
          <w:rFonts w:ascii="Times New Roman" w:eastAsia="Times New Roman" w:hAnsi="Times New Roman" w:cs="Times New Roman"/>
          <w:sz w:val="28"/>
          <w:szCs w:val="28"/>
          <w:lang w:eastAsia="ru-RU"/>
        </w:rPr>
        <w:t xml:space="preserve">2 </w:t>
      </w:r>
      <w:r w:rsidR="003D4126" w:rsidRPr="00D27414">
        <w:rPr>
          <w:rFonts w:ascii="Times New Roman" w:eastAsia="Times New Roman" w:hAnsi="Times New Roman" w:cs="Times New Roman"/>
          <w:sz w:val="28"/>
          <w:szCs w:val="28"/>
          <w:lang w:val="uk-UA" w:eastAsia="ru-RU"/>
        </w:rPr>
        <w:t>лип</w:t>
      </w:r>
      <w:r w:rsidR="003D4126" w:rsidRPr="00D27414">
        <w:rPr>
          <w:rFonts w:ascii="Times New Roman" w:eastAsia="Times New Roman" w:hAnsi="Times New Roman" w:cs="Times New Roman"/>
          <w:sz w:val="28"/>
          <w:szCs w:val="28"/>
          <w:lang w:eastAsia="ru-RU"/>
        </w:rPr>
        <w:t>ня 2021 року №</w:t>
      </w:r>
      <w:r w:rsidR="003D4126"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xml:space="preserve">, орендної плати щодо діючих договорів оренди,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правовстановлювальних документів, а також застосування з 2024 року індексації нормативної грошової оцінки земель населених пунктів та інших земель несільськогосподарського призначення відповідно до вимог </w:t>
      </w:r>
      <w:r w:rsidRPr="00BF183E">
        <w:rPr>
          <w:rFonts w:ascii="Times New Roman" w:eastAsia="Times New Roman" w:hAnsi="Times New Roman" w:cs="Times New Roman"/>
          <w:color w:val="000000"/>
          <w:sz w:val="28"/>
          <w:szCs w:val="28"/>
          <w:lang w:eastAsia="ru-RU"/>
        </w:rPr>
        <w:lastRenderedPageBreak/>
        <w:t>Податкового кодексу України</w:t>
      </w:r>
      <w:r w:rsidRPr="003D4126">
        <w:rPr>
          <w:rFonts w:ascii="Times New Roman" w:eastAsia="Times New Roman" w:hAnsi="Times New Roman" w:cs="Times New Roman"/>
          <w:sz w:val="28"/>
          <w:szCs w:val="28"/>
          <w:lang w:eastAsia="ru-RU"/>
        </w:rPr>
        <w:t xml:space="preserve">. Темпи росту з плати за землю прогнозуються </w:t>
      </w:r>
      <w:r w:rsidR="003D4126" w:rsidRPr="00BF183E">
        <w:rPr>
          <w:rFonts w:ascii="Times New Roman" w:eastAsia="Times New Roman" w:hAnsi="Times New Roman" w:cs="Times New Roman"/>
          <w:color w:val="000000"/>
          <w:sz w:val="28"/>
          <w:szCs w:val="28"/>
          <w:lang w:eastAsia="ru-RU"/>
        </w:rPr>
        <w:t xml:space="preserve">у 2022 році на рівні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0</w:t>
      </w:r>
      <w:r w:rsidR="003D4126" w:rsidRPr="00BF183E">
        <w:rPr>
          <w:rFonts w:ascii="Times New Roman" w:eastAsia="Times New Roman" w:hAnsi="Times New Roman" w:cs="Times New Roman"/>
          <w:color w:val="000000"/>
          <w:sz w:val="28"/>
          <w:szCs w:val="28"/>
          <w:lang w:eastAsia="ru-RU"/>
        </w:rPr>
        <w:t xml:space="preserve"> %, у 2023 році – на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0</w:t>
      </w:r>
      <w:r w:rsidR="003D4126" w:rsidRPr="00BF183E">
        <w:rPr>
          <w:rFonts w:ascii="Times New Roman" w:eastAsia="Times New Roman" w:hAnsi="Times New Roman" w:cs="Times New Roman"/>
          <w:color w:val="000000"/>
          <w:sz w:val="28"/>
          <w:szCs w:val="28"/>
          <w:lang w:eastAsia="ru-RU"/>
        </w:rPr>
        <w:t xml:space="preserve"> % та у 2024 році – на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 xml:space="preserve"> %.</w:t>
      </w:r>
    </w:p>
    <w:p w14:paraId="2AEB5E95" w14:textId="4C3DE5D1"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Податок на нерухоме майно, відмінне від земельної ділянки та туристичний збір на 2022-20224 роки прогнозуються з урахуванням збільшення ставок податку, які встановлені рішеннями </w:t>
      </w:r>
      <w:r w:rsidR="003D4126">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w:t>
      </w:r>
      <w:proofErr w:type="gramStart"/>
      <w:r w:rsidRPr="00BF183E">
        <w:rPr>
          <w:rFonts w:ascii="Times New Roman" w:eastAsia="Times New Roman" w:hAnsi="Times New Roman" w:cs="Times New Roman"/>
          <w:color w:val="000000"/>
          <w:sz w:val="28"/>
          <w:szCs w:val="28"/>
          <w:lang w:eastAsia="ru-RU"/>
        </w:rPr>
        <w:t>від  </w:t>
      </w:r>
      <w:r w:rsidR="00F65CAF" w:rsidRPr="00D27414">
        <w:rPr>
          <w:rFonts w:ascii="Times New Roman" w:eastAsia="Times New Roman" w:hAnsi="Times New Roman" w:cs="Times New Roman"/>
          <w:sz w:val="28"/>
          <w:szCs w:val="28"/>
          <w:lang w:val="uk-UA" w:eastAsia="ru-RU"/>
        </w:rPr>
        <w:t>1</w:t>
      </w:r>
      <w:r w:rsidR="00F65CAF" w:rsidRPr="00D27414">
        <w:rPr>
          <w:rFonts w:ascii="Times New Roman" w:eastAsia="Times New Roman" w:hAnsi="Times New Roman" w:cs="Times New Roman"/>
          <w:sz w:val="28"/>
          <w:szCs w:val="28"/>
          <w:lang w:eastAsia="ru-RU"/>
        </w:rPr>
        <w:t>2</w:t>
      </w:r>
      <w:proofErr w:type="gramEnd"/>
      <w:r w:rsidR="00F65CAF" w:rsidRPr="00D27414">
        <w:rPr>
          <w:rFonts w:ascii="Times New Roman" w:eastAsia="Times New Roman" w:hAnsi="Times New Roman" w:cs="Times New Roman"/>
          <w:sz w:val="28"/>
          <w:szCs w:val="28"/>
          <w:lang w:eastAsia="ru-RU"/>
        </w:rPr>
        <w:t xml:space="preserve"> </w:t>
      </w:r>
      <w:r w:rsidR="00F65CAF" w:rsidRPr="00D27414">
        <w:rPr>
          <w:rFonts w:ascii="Times New Roman" w:eastAsia="Times New Roman" w:hAnsi="Times New Roman" w:cs="Times New Roman"/>
          <w:sz w:val="28"/>
          <w:szCs w:val="28"/>
          <w:lang w:val="uk-UA" w:eastAsia="ru-RU"/>
        </w:rPr>
        <w:t>лип</w:t>
      </w:r>
      <w:r w:rsidR="00F65CAF" w:rsidRPr="00D27414">
        <w:rPr>
          <w:rFonts w:ascii="Times New Roman" w:eastAsia="Times New Roman" w:hAnsi="Times New Roman" w:cs="Times New Roman"/>
          <w:sz w:val="28"/>
          <w:szCs w:val="28"/>
          <w:lang w:eastAsia="ru-RU"/>
        </w:rPr>
        <w:t>ня 2021 року №</w:t>
      </w:r>
      <w:r w:rsidR="00F65CAF"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та темпів зростання мінімальної заробітної плати.</w:t>
      </w:r>
    </w:p>
    <w:p w14:paraId="229836E6" w14:textId="79B351B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Прогнозні надходження акцизного податку на 2022-2024 роки розраховані виходячи з фактичних надходжень, розширення бази оподаткування, за ставкою </w:t>
      </w:r>
      <w:r w:rsidR="005D10C5">
        <w:rPr>
          <w:rFonts w:ascii="Times New Roman" w:eastAsia="Times New Roman" w:hAnsi="Times New Roman" w:cs="Times New Roman"/>
          <w:color w:val="000000"/>
          <w:sz w:val="28"/>
          <w:szCs w:val="28"/>
          <w:lang w:val="uk-UA" w:eastAsia="ru-RU"/>
        </w:rPr>
        <w:t>5</w:t>
      </w:r>
      <w:r w:rsidRPr="00BF183E">
        <w:rPr>
          <w:rFonts w:ascii="Times New Roman" w:eastAsia="Times New Roman" w:hAnsi="Times New Roman" w:cs="Times New Roman"/>
          <w:color w:val="000000"/>
          <w:sz w:val="28"/>
          <w:szCs w:val="28"/>
          <w:lang w:eastAsia="ru-RU"/>
        </w:rPr>
        <w:t xml:space="preserve"> % в частині акцизного податку з реалізації суб'єктами господарювання роздрібної торгівлі підакцизних товарів (пива, алкогольних напоїв, тютюнових виробів, тютюну та промислових замінників тютюну)</w:t>
      </w:r>
      <w:r w:rsidR="005D10C5">
        <w:rPr>
          <w:rFonts w:ascii="Times New Roman" w:eastAsia="Times New Roman" w:hAnsi="Times New Roman" w:cs="Times New Roman"/>
          <w:color w:val="000000"/>
          <w:sz w:val="28"/>
          <w:szCs w:val="28"/>
          <w:lang w:val="uk-UA" w:eastAsia="ru-RU"/>
        </w:rPr>
        <w:t>.</w:t>
      </w:r>
      <w:r w:rsidRPr="00BF183E">
        <w:rPr>
          <w:rFonts w:ascii="Times New Roman" w:eastAsia="Times New Roman" w:hAnsi="Times New Roman" w:cs="Times New Roman"/>
          <w:color w:val="000000"/>
          <w:sz w:val="28"/>
          <w:szCs w:val="28"/>
          <w:lang w:eastAsia="ru-RU"/>
        </w:rPr>
        <w:t xml:space="preserve"> Темпи росту акцизного податку прогнозуються у 2022 році на рівні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у 2023 році – на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та у 2024 році – на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w:t>
      </w:r>
    </w:p>
    <w:p w14:paraId="447ED4F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Впровадження послідовної та передбачуваної податкової політики на території громади в середньостроковому періоді дозволить забезпечити:</w:t>
      </w:r>
    </w:p>
    <w:p w14:paraId="50BC1504" w14:textId="471E6D9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середньорічний приріст доходів бюджету на </w:t>
      </w:r>
      <w:r w:rsidR="005D10C5">
        <w:rPr>
          <w:rFonts w:ascii="Times New Roman" w:eastAsia="Times New Roman" w:hAnsi="Times New Roman" w:cs="Times New Roman"/>
          <w:color w:val="000000"/>
          <w:sz w:val="28"/>
          <w:szCs w:val="28"/>
          <w:lang w:val="uk-UA" w:eastAsia="ru-RU"/>
        </w:rPr>
        <w:t>7</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5</w:t>
      </w:r>
      <w:r w:rsidRPr="00BF183E">
        <w:rPr>
          <w:rFonts w:ascii="Times New Roman" w:eastAsia="Times New Roman" w:hAnsi="Times New Roman" w:cs="Times New Roman"/>
          <w:color w:val="000000"/>
          <w:sz w:val="28"/>
          <w:szCs w:val="28"/>
          <w:lang w:eastAsia="ru-RU"/>
        </w:rPr>
        <w:t xml:space="preserve"> %;</w:t>
      </w:r>
    </w:p>
    <w:p w14:paraId="5A7F10C5" w14:textId="580289EC" w:rsidR="00BF183E" w:rsidRPr="005D10C5"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eastAsia="ru-RU"/>
        </w:rPr>
        <w:t>зростання бюджетоутворювальних податків, а саме податку на доходи фізичних осіб – на 4,</w:t>
      </w:r>
      <w:r w:rsidR="005D10C5">
        <w:rPr>
          <w:rFonts w:ascii="Times New Roman" w:eastAsia="Times New Roman" w:hAnsi="Times New Roman" w:cs="Times New Roman"/>
          <w:color w:val="000000"/>
          <w:sz w:val="28"/>
          <w:szCs w:val="28"/>
          <w:lang w:val="uk-UA" w:eastAsia="ru-RU"/>
        </w:rPr>
        <w:t>9</w:t>
      </w:r>
      <w:r w:rsidRPr="00BF183E">
        <w:rPr>
          <w:rFonts w:ascii="Times New Roman" w:eastAsia="Times New Roman" w:hAnsi="Times New Roman" w:cs="Times New Roman"/>
          <w:color w:val="000000"/>
          <w:sz w:val="28"/>
          <w:szCs w:val="28"/>
          <w:lang w:eastAsia="ru-RU"/>
        </w:rPr>
        <w:t xml:space="preserve"> %, місцевих податків та зборів – на </w:t>
      </w:r>
      <w:r w:rsidR="005D10C5">
        <w:rPr>
          <w:rFonts w:ascii="Times New Roman" w:eastAsia="Times New Roman" w:hAnsi="Times New Roman" w:cs="Times New Roman"/>
          <w:color w:val="000000"/>
          <w:sz w:val="28"/>
          <w:szCs w:val="28"/>
          <w:lang w:val="uk-UA" w:eastAsia="ru-RU"/>
        </w:rPr>
        <w:t>4</w:t>
      </w:r>
      <w:r w:rsidRPr="00BF183E">
        <w:rPr>
          <w:rFonts w:ascii="Times New Roman" w:eastAsia="Times New Roman" w:hAnsi="Times New Roman" w:cs="Times New Roman"/>
          <w:color w:val="000000"/>
          <w:sz w:val="28"/>
          <w:szCs w:val="28"/>
          <w:lang w:eastAsia="ru-RU"/>
        </w:rPr>
        <w:t>,5 %</w:t>
      </w:r>
      <w:r w:rsidR="005D10C5">
        <w:rPr>
          <w:rFonts w:ascii="Times New Roman" w:eastAsia="Times New Roman" w:hAnsi="Times New Roman" w:cs="Times New Roman"/>
          <w:color w:val="000000"/>
          <w:sz w:val="28"/>
          <w:szCs w:val="28"/>
          <w:lang w:val="uk-UA" w:eastAsia="ru-RU"/>
        </w:rPr>
        <w:t>.</w:t>
      </w:r>
    </w:p>
    <w:p w14:paraId="22968296" w14:textId="7D5D52CF"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   </w:t>
      </w:r>
    </w:p>
    <w:p w14:paraId="031C89D7" w14:textId="6B2404E0"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 xml:space="preserve">V. </w:t>
      </w:r>
      <w:proofErr w:type="gramStart"/>
      <w:r w:rsidRPr="00BF183E">
        <w:rPr>
          <w:rFonts w:ascii="Times New Roman" w:eastAsia="Times New Roman" w:hAnsi="Times New Roman" w:cs="Times New Roman"/>
          <w:b/>
          <w:bCs/>
          <w:color w:val="2D5CA6"/>
          <w:kern w:val="36"/>
          <w:sz w:val="28"/>
          <w:szCs w:val="28"/>
          <w:bdr w:val="none" w:sz="0" w:space="0" w:color="auto" w:frame="1"/>
          <w:lang w:eastAsia="ru-RU"/>
        </w:rPr>
        <w:t>Показники  фінансування</w:t>
      </w:r>
      <w:proofErr w:type="gramEnd"/>
      <w:r w:rsidRPr="00BF183E">
        <w:rPr>
          <w:rFonts w:ascii="Times New Roman" w:eastAsia="Times New Roman" w:hAnsi="Times New Roman" w:cs="Times New Roman"/>
          <w:b/>
          <w:bCs/>
          <w:color w:val="2D5CA6"/>
          <w:kern w:val="36"/>
          <w:sz w:val="28"/>
          <w:szCs w:val="28"/>
          <w:bdr w:val="none" w:sz="0" w:space="0" w:color="auto" w:frame="1"/>
          <w:lang w:eastAsia="ru-RU"/>
        </w:rPr>
        <w:t xml:space="preserve">   бюджету, показники місцевого боргу, гарантованого територіальною громадою міста боргу та надання місцевих гарантій</w:t>
      </w:r>
    </w:p>
    <w:p w14:paraId="27B00FE0"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78E0AC4F" w14:textId="376D6CA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Показники фінансування, місцевого боргу, гарантованого </w:t>
      </w:r>
      <w:r w:rsidR="005D10C5">
        <w:rPr>
          <w:rFonts w:ascii="Times New Roman" w:eastAsia="Times New Roman" w:hAnsi="Times New Roman" w:cs="Times New Roman"/>
          <w:color w:val="000000"/>
          <w:sz w:val="28"/>
          <w:szCs w:val="28"/>
          <w:lang w:val="uk-UA" w:eastAsia="ru-RU"/>
        </w:rPr>
        <w:t>селищною</w:t>
      </w:r>
      <w:r w:rsidRPr="00BF183E">
        <w:rPr>
          <w:rFonts w:ascii="Times New Roman" w:eastAsia="Times New Roman" w:hAnsi="Times New Roman" w:cs="Times New Roman"/>
          <w:color w:val="000000"/>
          <w:sz w:val="28"/>
          <w:szCs w:val="28"/>
          <w:lang w:eastAsia="ru-RU"/>
        </w:rPr>
        <w:t xml:space="preserve"> територіальною громадою боргу та надання місцевих гарантій на 2022-2024 роки наведено у додатку </w:t>
      </w:r>
      <w:proofErr w:type="gramStart"/>
      <w:r w:rsidRPr="00BF183E">
        <w:rPr>
          <w:rFonts w:ascii="Times New Roman" w:eastAsia="Times New Roman" w:hAnsi="Times New Roman" w:cs="Times New Roman"/>
          <w:color w:val="000000"/>
          <w:sz w:val="28"/>
          <w:szCs w:val="28"/>
          <w:lang w:eastAsia="ru-RU"/>
        </w:rPr>
        <w:t>3  до</w:t>
      </w:r>
      <w:proofErr w:type="gramEnd"/>
      <w:r w:rsidRPr="00BF183E">
        <w:rPr>
          <w:rFonts w:ascii="Times New Roman" w:eastAsia="Times New Roman" w:hAnsi="Times New Roman" w:cs="Times New Roman"/>
          <w:color w:val="000000"/>
          <w:sz w:val="28"/>
          <w:szCs w:val="28"/>
          <w:lang w:eastAsia="ru-RU"/>
        </w:rPr>
        <w:t xml:space="preserve"> Прогнозу.</w:t>
      </w:r>
    </w:p>
    <w:p w14:paraId="5E3F3D2C"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Прогнозом залучення джерел фінансування у 2022, 2023 та 2024 роках не передбачається, оскільки доходи та видатки збалансовані між собою, видатки на обслуговування місцевого боргу та місцевих гарантій не прогнозуються, оскільки запозичення </w:t>
      </w:r>
      <w:proofErr w:type="gramStart"/>
      <w:r w:rsidRPr="00BF183E">
        <w:rPr>
          <w:rFonts w:ascii="Times New Roman" w:eastAsia="Times New Roman" w:hAnsi="Times New Roman" w:cs="Times New Roman"/>
          <w:color w:val="000000"/>
          <w:sz w:val="28"/>
          <w:szCs w:val="28"/>
          <w:lang w:eastAsia="ru-RU"/>
        </w:rPr>
        <w:t>до бюджету</w:t>
      </w:r>
      <w:proofErr w:type="gramEnd"/>
      <w:r w:rsidRPr="00BF183E">
        <w:rPr>
          <w:rFonts w:ascii="Times New Roman" w:eastAsia="Times New Roman" w:hAnsi="Times New Roman" w:cs="Times New Roman"/>
          <w:color w:val="000000"/>
          <w:sz w:val="28"/>
          <w:szCs w:val="28"/>
          <w:lang w:eastAsia="ru-RU"/>
        </w:rPr>
        <w:t xml:space="preserve"> громади та надання гарантій не плануються і на початок 2022 року боргові зобов’язання відсутні (додатки 4, 5 до Прогнозу не складались).</w:t>
      </w:r>
    </w:p>
    <w:p w14:paraId="0AC8B341" w14:textId="6169699A"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VІ. Показники видатків бюджету та надання кредитів з бюджету</w:t>
      </w:r>
    </w:p>
    <w:p w14:paraId="24052897"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color w:val="000000"/>
          <w:sz w:val="28"/>
          <w:szCs w:val="28"/>
          <w:lang w:eastAsia="ru-RU"/>
        </w:rPr>
      </w:pPr>
    </w:p>
    <w:p w14:paraId="509173BE" w14:textId="2DF3CCA0"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Під час формування видаткової частини бюджету </w:t>
      </w:r>
      <w:r w:rsidR="005D10C5">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територіальної громади у середньостроковому періоді основним прагненням є досягнення цілей державної політики в межах ресурсних можливостей бюджету</w:t>
      </w:r>
      <w:r w:rsidR="005D10C5">
        <w:rPr>
          <w:rFonts w:ascii="Times New Roman" w:eastAsia="Times New Roman" w:hAnsi="Times New Roman" w:cs="Times New Roman"/>
          <w:color w:val="000000"/>
          <w:sz w:val="28"/>
          <w:szCs w:val="28"/>
          <w:lang w:val="uk-UA" w:eastAsia="ru-RU"/>
        </w:rPr>
        <w:t xml:space="preserve"> </w:t>
      </w:r>
      <w:r w:rsidRPr="00BF183E">
        <w:rPr>
          <w:rFonts w:ascii="Times New Roman" w:eastAsia="Times New Roman" w:hAnsi="Times New Roman" w:cs="Times New Roman"/>
          <w:color w:val="000000"/>
          <w:sz w:val="28"/>
          <w:szCs w:val="28"/>
          <w:lang w:eastAsia="ru-RU"/>
        </w:rPr>
        <w:t xml:space="preserve">громади, спрямовування коштів на заходи відповідно до їх </w:t>
      </w:r>
      <w:r w:rsidRPr="00BF183E">
        <w:rPr>
          <w:rFonts w:ascii="Times New Roman" w:eastAsia="Times New Roman" w:hAnsi="Times New Roman" w:cs="Times New Roman"/>
          <w:color w:val="000000"/>
          <w:sz w:val="28"/>
          <w:szCs w:val="28"/>
          <w:lang w:eastAsia="ru-RU"/>
        </w:rPr>
        <w:lastRenderedPageBreak/>
        <w:t>пріоритетності та актуальності, а також з урахуванням економного використання коштів за діючими бюджетними програмами.</w:t>
      </w:r>
    </w:p>
    <w:p w14:paraId="77122386" w14:textId="7E9192BE"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Прогнозні показники видатків та кредитування бюджету </w:t>
      </w:r>
      <w:r w:rsidR="005D10C5">
        <w:rPr>
          <w:rFonts w:ascii="Times New Roman" w:eastAsia="Times New Roman" w:hAnsi="Times New Roman" w:cs="Times New Roman"/>
          <w:color w:val="000000"/>
          <w:sz w:val="28"/>
          <w:szCs w:val="28"/>
          <w:lang w:val="uk-UA" w:eastAsia="ru-RU"/>
        </w:rPr>
        <w:t xml:space="preserve">Красненської </w:t>
      </w:r>
      <w:r w:rsidRPr="00BF183E">
        <w:rPr>
          <w:rFonts w:ascii="Times New Roman" w:eastAsia="Times New Roman" w:hAnsi="Times New Roman" w:cs="Times New Roman"/>
          <w:color w:val="000000"/>
          <w:sz w:val="28"/>
          <w:szCs w:val="28"/>
          <w:lang w:eastAsia="ru-RU"/>
        </w:rPr>
        <w:t>селищної ради на 2022 – 2024 роки відображені на підставі поданих головними розпорядниками коштів пропозицій до Прогнозу, а саме:</w:t>
      </w:r>
    </w:p>
    <w:p w14:paraId="0DE9D44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граничні показники видатків бюджету та надання кредитів з бюджету головним розпорядникам коштів – додаток 6;</w:t>
      </w:r>
    </w:p>
    <w:p w14:paraId="5E81605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граничні показники видатків бюджету за Типовою програмною класифікацією видатків та кредитування місцевого бюджету – додаток 7.</w:t>
      </w:r>
    </w:p>
    <w:p w14:paraId="245AAEF2" w14:textId="5F2172EA" w:rsid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2022-2024 роки відповідно до Бюджетної декларації, прийнятої Верховною Радою України 15 липня 2021 року:</w:t>
      </w:r>
    </w:p>
    <w:tbl>
      <w:tblPr>
        <w:tblW w:w="91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9"/>
        <w:gridCol w:w="1276"/>
        <w:gridCol w:w="4820"/>
      </w:tblGrid>
      <w:tr w:rsidR="00437E36" w:rsidRPr="002C2499" w14:paraId="320481FA" w14:textId="77777777" w:rsidTr="00437E36">
        <w:trPr>
          <w:trHeight w:val="556"/>
        </w:trPr>
        <w:tc>
          <w:tcPr>
            <w:tcW w:w="3009" w:type="dxa"/>
            <w:vMerge w:val="restart"/>
          </w:tcPr>
          <w:p w14:paraId="1534271C" w14:textId="77777777" w:rsidR="00437E36" w:rsidRPr="002C2499" w:rsidRDefault="00437E36" w:rsidP="003827D5">
            <w:pPr>
              <w:jc w:val="center"/>
              <w:rPr>
                <w:rFonts w:ascii="Times New Roman" w:hAnsi="Times New Roman" w:cs="Times New Roman"/>
                <w:sz w:val="28"/>
                <w:szCs w:val="28"/>
                <w:lang w:val="uk-UA"/>
              </w:rPr>
            </w:pPr>
            <w:r w:rsidRPr="002C2499">
              <w:rPr>
                <w:rFonts w:ascii="Times New Roman" w:hAnsi="Times New Roman" w:cs="Times New Roman"/>
                <w:sz w:val="28"/>
                <w:szCs w:val="28"/>
                <w:lang w:val="uk-UA"/>
              </w:rPr>
              <w:t>Дата</w:t>
            </w:r>
          </w:p>
        </w:tc>
        <w:tc>
          <w:tcPr>
            <w:tcW w:w="6096" w:type="dxa"/>
            <w:gridSpan w:val="2"/>
            <w:shd w:val="clear" w:color="auto" w:fill="auto"/>
          </w:tcPr>
          <w:p w14:paraId="0CCD10A7" w14:textId="77777777" w:rsidR="00437E36" w:rsidRPr="002C2499" w:rsidRDefault="00437E36" w:rsidP="003827D5">
            <w:pPr>
              <w:jc w:val="center"/>
              <w:rPr>
                <w:rFonts w:ascii="Times New Roman" w:hAnsi="Times New Roman" w:cs="Times New Roman"/>
                <w:sz w:val="28"/>
                <w:szCs w:val="28"/>
                <w:lang w:val="uk-UA"/>
              </w:rPr>
            </w:pPr>
            <w:r w:rsidRPr="002C2499">
              <w:rPr>
                <w:rFonts w:ascii="Times New Roman" w:eastAsia="Times New Roman" w:hAnsi="Times New Roman" w:cs="Times New Roman"/>
                <w:color w:val="000000"/>
                <w:sz w:val="28"/>
                <w:szCs w:val="28"/>
                <w:lang w:eastAsia="ru-RU"/>
              </w:rPr>
              <w:t>Мінімальна заробітна плата</w:t>
            </w:r>
          </w:p>
        </w:tc>
      </w:tr>
      <w:tr w:rsidR="00437E36" w:rsidRPr="002C2499" w14:paraId="464246AF" w14:textId="77777777" w:rsidTr="00437E36">
        <w:trPr>
          <w:trHeight w:val="550"/>
        </w:trPr>
        <w:tc>
          <w:tcPr>
            <w:tcW w:w="3009" w:type="dxa"/>
            <w:vMerge/>
          </w:tcPr>
          <w:p w14:paraId="71FB2D35" w14:textId="77777777" w:rsidR="00437E36" w:rsidRPr="002C2499" w:rsidRDefault="00437E36" w:rsidP="003827D5">
            <w:pPr>
              <w:rPr>
                <w:rFonts w:ascii="Times New Roman" w:hAnsi="Times New Roman" w:cs="Times New Roman"/>
                <w:sz w:val="28"/>
                <w:szCs w:val="28"/>
              </w:rPr>
            </w:pPr>
          </w:p>
        </w:tc>
        <w:tc>
          <w:tcPr>
            <w:tcW w:w="1276" w:type="dxa"/>
            <w:shd w:val="clear" w:color="auto" w:fill="auto"/>
          </w:tcPr>
          <w:p w14:paraId="4C023ED8" w14:textId="77777777" w:rsidR="00437E36" w:rsidRPr="002C2499"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грн</w:t>
            </w:r>
          </w:p>
        </w:tc>
        <w:tc>
          <w:tcPr>
            <w:tcW w:w="4820" w:type="dxa"/>
            <w:shd w:val="clear" w:color="auto" w:fill="auto"/>
          </w:tcPr>
          <w:p w14:paraId="0D31B03A" w14:textId="77777777" w:rsidR="00437E36" w:rsidRPr="002C2499" w:rsidRDefault="00437E36" w:rsidP="003827D5">
            <w:pPr>
              <w:rPr>
                <w:rFonts w:ascii="Times New Roman" w:hAnsi="Times New Roman" w:cs="Times New Roman"/>
                <w:sz w:val="28"/>
                <w:szCs w:val="28"/>
              </w:rPr>
            </w:pPr>
            <w:r w:rsidRPr="00BF183E">
              <w:rPr>
                <w:rFonts w:ascii="Times New Roman" w:eastAsia="Times New Roman" w:hAnsi="Times New Roman" w:cs="Times New Roman"/>
                <w:color w:val="000000"/>
                <w:sz w:val="28"/>
                <w:szCs w:val="28"/>
                <w:lang w:eastAsia="ru-RU"/>
              </w:rPr>
              <w:t>темпи приросту, %</w:t>
            </w:r>
          </w:p>
        </w:tc>
      </w:tr>
      <w:tr w:rsidR="00437E36" w14:paraId="59C405BB" w14:textId="77777777" w:rsidTr="00437E36">
        <w:trPr>
          <w:trHeight w:val="331"/>
        </w:trPr>
        <w:tc>
          <w:tcPr>
            <w:tcW w:w="3009" w:type="dxa"/>
          </w:tcPr>
          <w:p w14:paraId="779E8874" w14:textId="77777777" w:rsidR="00437E36" w:rsidRPr="00DC7EFC" w:rsidRDefault="00437E36" w:rsidP="003827D5">
            <w:pPr>
              <w:jc w:val="both"/>
              <w:rPr>
                <w:rFonts w:ascii="Times New Roman" w:hAnsi="Times New Roman" w:cs="Times New Roman"/>
                <w:sz w:val="28"/>
                <w:szCs w:val="28"/>
                <w:lang w:val="uk-UA"/>
              </w:rPr>
            </w:pPr>
            <w:bookmarkStart w:id="2" w:name="_Hlk81313042"/>
            <w:r>
              <w:rPr>
                <w:rFonts w:ascii="Times New Roman" w:hAnsi="Times New Roman" w:cs="Times New Roman"/>
                <w:sz w:val="28"/>
                <w:szCs w:val="28"/>
                <w:lang w:val="uk-UA"/>
              </w:rPr>
              <w:t>З 01 січня 2022 року</w:t>
            </w:r>
          </w:p>
        </w:tc>
        <w:tc>
          <w:tcPr>
            <w:tcW w:w="1276" w:type="dxa"/>
            <w:shd w:val="clear" w:color="auto" w:fill="auto"/>
          </w:tcPr>
          <w:p w14:paraId="17E5C507"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6500</w:t>
            </w:r>
          </w:p>
        </w:tc>
        <w:tc>
          <w:tcPr>
            <w:tcW w:w="4820" w:type="dxa"/>
            <w:shd w:val="clear" w:color="auto" w:fill="auto"/>
          </w:tcPr>
          <w:p w14:paraId="64C44CD2" w14:textId="77777777" w:rsidR="00437E36" w:rsidRDefault="00437E36" w:rsidP="003827D5">
            <w:pPr>
              <w:rPr>
                <w:rFonts w:ascii="Times New Roman" w:hAnsi="Times New Roman" w:cs="Times New Roman"/>
                <w:sz w:val="28"/>
                <w:szCs w:val="28"/>
              </w:rPr>
            </w:pPr>
          </w:p>
        </w:tc>
      </w:tr>
      <w:bookmarkEnd w:id="2"/>
      <w:tr w:rsidR="00437E36" w14:paraId="52A1FFF2" w14:textId="77777777" w:rsidTr="00437E36">
        <w:trPr>
          <w:trHeight w:val="412"/>
        </w:trPr>
        <w:tc>
          <w:tcPr>
            <w:tcW w:w="3009" w:type="dxa"/>
          </w:tcPr>
          <w:p w14:paraId="501CB0EC" w14:textId="77777777" w:rsidR="00437E36" w:rsidRPr="00DC7EFC" w:rsidRDefault="00437E36" w:rsidP="003827D5">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01 жовтня 2022 року </w:t>
            </w:r>
          </w:p>
        </w:tc>
        <w:tc>
          <w:tcPr>
            <w:tcW w:w="1276" w:type="dxa"/>
            <w:shd w:val="clear" w:color="auto" w:fill="auto"/>
          </w:tcPr>
          <w:p w14:paraId="77BC2D57"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6700</w:t>
            </w:r>
          </w:p>
        </w:tc>
        <w:tc>
          <w:tcPr>
            <w:tcW w:w="4820" w:type="dxa"/>
            <w:shd w:val="clear" w:color="auto" w:fill="auto"/>
          </w:tcPr>
          <w:p w14:paraId="09245A1F"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3,1</w:t>
            </w:r>
          </w:p>
        </w:tc>
      </w:tr>
      <w:tr w:rsidR="00437E36" w14:paraId="7C97F8DC" w14:textId="77777777" w:rsidTr="00437E36">
        <w:trPr>
          <w:trHeight w:val="461"/>
        </w:trPr>
        <w:tc>
          <w:tcPr>
            <w:tcW w:w="3009" w:type="dxa"/>
          </w:tcPr>
          <w:p w14:paraId="2BE4D8F5"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З 01 січня 2023 року</w:t>
            </w:r>
          </w:p>
        </w:tc>
        <w:tc>
          <w:tcPr>
            <w:tcW w:w="1276" w:type="dxa"/>
            <w:shd w:val="clear" w:color="auto" w:fill="auto"/>
          </w:tcPr>
          <w:p w14:paraId="0563F404"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7176</w:t>
            </w:r>
          </w:p>
        </w:tc>
        <w:tc>
          <w:tcPr>
            <w:tcW w:w="4820" w:type="dxa"/>
            <w:shd w:val="clear" w:color="auto" w:fill="auto"/>
          </w:tcPr>
          <w:p w14:paraId="6694FC17"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7,1</w:t>
            </w:r>
          </w:p>
        </w:tc>
      </w:tr>
      <w:tr w:rsidR="00437E36" w14:paraId="66066E0D" w14:textId="77777777" w:rsidTr="00437E36">
        <w:trPr>
          <w:trHeight w:val="511"/>
        </w:trPr>
        <w:tc>
          <w:tcPr>
            <w:tcW w:w="3009" w:type="dxa"/>
          </w:tcPr>
          <w:p w14:paraId="6D330F73"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З 01 січня 2024 року</w:t>
            </w:r>
          </w:p>
        </w:tc>
        <w:tc>
          <w:tcPr>
            <w:tcW w:w="1276" w:type="dxa"/>
            <w:shd w:val="clear" w:color="auto" w:fill="auto"/>
          </w:tcPr>
          <w:p w14:paraId="5AE48E9C"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7665</w:t>
            </w:r>
          </w:p>
        </w:tc>
        <w:tc>
          <w:tcPr>
            <w:tcW w:w="4820" w:type="dxa"/>
            <w:shd w:val="clear" w:color="auto" w:fill="auto"/>
          </w:tcPr>
          <w:p w14:paraId="0D3FDCCD"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6,8</w:t>
            </w:r>
          </w:p>
        </w:tc>
      </w:tr>
    </w:tbl>
    <w:p w14:paraId="0B39B16E" w14:textId="77777777" w:rsidR="003D4126" w:rsidRDefault="003D4126"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
    <w:p w14:paraId="6ADBA0B4" w14:textId="3A272816"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некомерційними підприємствами охорони здоров’я.</w:t>
      </w:r>
    </w:p>
    <w:p w14:paraId="06B108A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гендерного аналізу за окремими бюджетними програмами, надання встановлених власних соціальних гарантій для малозахищених категорій громадян, підтримку в належному стані об’єктів житлово – комунального господарства, інших об’єктів інфраструктури громади, </w:t>
      </w:r>
      <w:r w:rsidRPr="00BF183E">
        <w:rPr>
          <w:rFonts w:ascii="Times New Roman" w:eastAsia="Times New Roman" w:hAnsi="Times New Roman" w:cs="Times New Roman"/>
          <w:color w:val="000000"/>
          <w:sz w:val="28"/>
          <w:szCs w:val="28"/>
          <w:lang w:eastAsia="ru-RU"/>
        </w:rPr>
        <w:lastRenderedPageBreak/>
        <w:t>впровадження заходів з енергозбереження, а також виконання в межах фінансових можливостей місцевих програм.</w:t>
      </w:r>
    </w:p>
    <w:p w14:paraId="50A60B31"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Державне управління</w:t>
      </w:r>
    </w:p>
    <w:p w14:paraId="0D0841CD" w14:textId="251ED1F2"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Надані законодавством повноваження у сфері державного управління у громаді реалізовуються через виконавчі органи ради, у тому числі відділами та секторами із загальною чисельністю </w:t>
      </w:r>
      <w:r w:rsidR="005D10C5" w:rsidRPr="005D10C5">
        <w:rPr>
          <w:rFonts w:ascii="Times New Roman" w:eastAsia="Times New Roman" w:hAnsi="Times New Roman" w:cs="Times New Roman"/>
          <w:sz w:val="28"/>
          <w:szCs w:val="28"/>
          <w:lang w:val="uk-UA" w:eastAsia="ru-RU"/>
        </w:rPr>
        <w:t>60</w:t>
      </w:r>
      <w:r w:rsidRPr="005D10C5">
        <w:rPr>
          <w:rFonts w:ascii="Times New Roman" w:eastAsia="Times New Roman" w:hAnsi="Times New Roman" w:cs="Times New Roman"/>
          <w:sz w:val="28"/>
          <w:szCs w:val="28"/>
          <w:lang w:eastAsia="ru-RU"/>
        </w:rPr>
        <w:t xml:space="preserve"> штатних </w:t>
      </w:r>
      <w:r w:rsidRPr="00BF183E">
        <w:rPr>
          <w:rFonts w:ascii="Times New Roman" w:eastAsia="Times New Roman" w:hAnsi="Times New Roman" w:cs="Times New Roman"/>
          <w:color w:val="000000"/>
          <w:sz w:val="28"/>
          <w:szCs w:val="28"/>
          <w:lang w:eastAsia="ru-RU"/>
        </w:rPr>
        <w:t>одиниць станом на 01.07.2021 року.</w:t>
      </w:r>
    </w:p>
    <w:p w14:paraId="10D117A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Метою діяльності є організаційне, інформаційно-аналітичне та матеріально-технічне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її імені та в її інтересах функцій і повноважень місцевого самоврядування, визначених Конституцією та законами України.</w:t>
      </w:r>
    </w:p>
    <w:p w14:paraId="40848A9A" w14:textId="30FAF46E"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Пріоритетним напрямком у сфері державного управління є надання виконавчими органами </w:t>
      </w:r>
      <w:r w:rsidR="005D10C5">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високоякісних і доступних адміністративних, соціальних та інших послуг населенню, налагодження ефективного діалогу та партнерських відносин виконавчих органів з організаціями громадянського суспільства, забезпечення участі громадськості у реалізації регіональної політики та розв’язанні питань місцевого значення.</w:t>
      </w:r>
    </w:p>
    <w:p w14:paraId="37C60D3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2022-2024 роках передбачається здійснити такі заходи:</w:t>
      </w:r>
    </w:p>
    <w:p w14:paraId="43F6A817" w14:textId="4BD61EE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-забезпечення принципу прозорості у діяльності виконавчих органів </w:t>
      </w:r>
      <w:r w:rsidR="005D10C5">
        <w:rPr>
          <w:rFonts w:ascii="Times New Roman" w:eastAsia="Times New Roman" w:hAnsi="Times New Roman" w:cs="Times New Roman"/>
          <w:color w:val="000000"/>
          <w:sz w:val="28"/>
          <w:szCs w:val="28"/>
          <w:lang w:val="uk-UA" w:eastAsia="ru-RU"/>
        </w:rPr>
        <w:t>селищної</w:t>
      </w:r>
      <w:r w:rsidRPr="00BF183E">
        <w:rPr>
          <w:rFonts w:ascii="Times New Roman" w:eastAsia="Times New Roman" w:hAnsi="Times New Roman" w:cs="Times New Roman"/>
          <w:color w:val="000000"/>
          <w:sz w:val="28"/>
          <w:szCs w:val="28"/>
          <w:lang w:eastAsia="ru-RU"/>
        </w:rPr>
        <w:t xml:space="preserve"> ради;</w:t>
      </w:r>
    </w:p>
    <w:p w14:paraId="689B4668"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впровадження інформаційних технологій та електронного документообігу;</w:t>
      </w:r>
    </w:p>
    <w:p w14:paraId="27E8EBA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-оптимізація та організація ефективної діяльності надання адміністративних послуг та соціальної політики.</w:t>
      </w:r>
    </w:p>
    <w:p w14:paraId="2DA4764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-вивчення та впровадження кращого досвіду в сфері розвитку місцевого самоврядування.</w:t>
      </w:r>
    </w:p>
    <w:p w14:paraId="19594B4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-закріплення фінансової самодостатності місцевого самоврядування, формування ефективної системи управління;</w:t>
      </w:r>
    </w:p>
    <w:p w14:paraId="11A95DA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14:paraId="2979888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w:t>
      </w:r>
    </w:p>
    <w:p w14:paraId="3676C4B6"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lastRenderedPageBreak/>
        <w:t>Освіта</w:t>
      </w:r>
    </w:p>
    <w:p w14:paraId="056539A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освіти на 2022-2024 роки визначено:</w:t>
      </w:r>
    </w:p>
    <w:p w14:paraId="1761BD12" w14:textId="4B572E1C"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запровадження Концепції реалізації державної політики у сфері реформування загальної середньої освіти “Нова українська школа”;</w:t>
      </w:r>
    </w:p>
    <w:p w14:paraId="1B9F299E" w14:textId="71D28B13"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оптимізація мережі навчальних закладів з урахуванням демографічних, економічних, соціальних перспектив розвитку громади, вимог сьогодення та потреб суспільства;</w:t>
      </w:r>
    </w:p>
    <w:p w14:paraId="440C5037" w14:textId="4E5E50E6"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пошук та запровадження нових форм підтримки обдарованих дітей та талановитої молоді в системі позашкільної освіти;</w:t>
      </w:r>
    </w:p>
    <w:p w14:paraId="276E2234" w14:textId="69AEEC92"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 </w:t>
      </w:r>
      <w:r w:rsidR="00D56B06">
        <w:rPr>
          <w:rFonts w:ascii="Times New Roman" w:eastAsia="Times New Roman" w:hAnsi="Times New Roman" w:cs="Times New Roman"/>
          <w:color w:val="000000"/>
          <w:sz w:val="28"/>
          <w:szCs w:val="28"/>
          <w:lang w:val="uk-UA" w:eastAsia="ru-RU"/>
        </w:rPr>
        <w:t xml:space="preserve">     </w:t>
      </w:r>
      <w:r w:rsidRPr="00BF183E">
        <w:rPr>
          <w:rFonts w:ascii="Times New Roman" w:eastAsia="Times New Roman" w:hAnsi="Times New Roman" w:cs="Times New Roman"/>
          <w:color w:val="000000"/>
          <w:sz w:val="28"/>
          <w:szCs w:val="28"/>
          <w:lang w:eastAsia="ru-RU"/>
        </w:rPr>
        <w:t>забезпечення доступності мистецької і позашкільної освіти та інтегрування її в європейський простір;</w:t>
      </w:r>
    </w:p>
    <w:p w14:paraId="4722DEA9" w14:textId="4E37F590"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оновлення і модернізація матеріально-технічної бази закладів освіти;</w:t>
      </w:r>
    </w:p>
    <w:p w14:paraId="1FC4D4F6" w14:textId="3B67B33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14:paraId="5D2A937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доступної дошкільної, загальної середньої та позашкільної освіти з урахуванням демографічних та економічних реалій;</w:t>
      </w:r>
    </w:p>
    <w:p w14:paraId="705B706F" w14:textId="6647DB59"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побудова освітньої мережі у відповідності до наявних ресурсів;</w:t>
      </w:r>
    </w:p>
    <w:p w14:paraId="7EF5402A" w14:textId="1909F30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ефективного функціонування та територіально доступного інклюзивно-ресурсного центру;</w:t>
      </w:r>
    </w:p>
    <w:p w14:paraId="21AB968D" w14:textId="2DBE08C6"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подальше створення умов для дітей з особливими освітніми потребами;</w:t>
      </w:r>
    </w:p>
    <w:p w14:paraId="4EBB6C79" w14:textId="6E635F9B"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створення інклюзивних класів, груп (за потреби).</w:t>
      </w:r>
    </w:p>
    <w:p w14:paraId="073D4237" w14:textId="31A83AC6" w:rsidR="00BF183E" w:rsidRPr="00D56B06" w:rsidRDefault="00BF183E" w:rsidP="00BF183E">
      <w:pPr>
        <w:shd w:val="clear" w:color="auto" w:fill="FFFFFF"/>
        <w:spacing w:after="225" w:line="240" w:lineRule="auto"/>
        <w:jc w:val="both"/>
        <w:textAlignment w:val="baseline"/>
        <w:rPr>
          <w:rFonts w:ascii="Times New Roman" w:eastAsia="Times New Roman" w:hAnsi="Times New Roman" w:cs="Times New Roman"/>
          <w:color w:val="FF0000"/>
          <w:sz w:val="28"/>
          <w:szCs w:val="28"/>
          <w:lang w:eastAsia="ru-RU"/>
        </w:rPr>
      </w:pPr>
      <w:r w:rsidRPr="00BF183E">
        <w:rPr>
          <w:rFonts w:ascii="Times New Roman" w:eastAsia="Times New Roman" w:hAnsi="Times New Roman" w:cs="Times New Roman"/>
          <w:color w:val="000000"/>
          <w:sz w:val="28"/>
          <w:szCs w:val="28"/>
          <w:lang w:eastAsia="ru-RU"/>
        </w:rPr>
        <w:t xml:space="preserve">Реалізація освітніх послуг буде здійснюватися через існуючу мережу освітніх закладів, яка </w:t>
      </w:r>
      <w:r w:rsidRPr="00C25066">
        <w:rPr>
          <w:rFonts w:ascii="Times New Roman" w:eastAsia="Times New Roman" w:hAnsi="Times New Roman" w:cs="Times New Roman"/>
          <w:color w:val="000000" w:themeColor="text1"/>
          <w:sz w:val="28"/>
          <w:szCs w:val="28"/>
          <w:lang w:eastAsia="ru-RU"/>
        </w:rPr>
        <w:t xml:space="preserve">включає </w:t>
      </w:r>
      <w:r w:rsidR="00C25066" w:rsidRPr="00C25066">
        <w:rPr>
          <w:rFonts w:ascii="Times New Roman" w:eastAsia="Times New Roman" w:hAnsi="Times New Roman" w:cs="Times New Roman"/>
          <w:color w:val="000000" w:themeColor="text1"/>
          <w:sz w:val="28"/>
          <w:szCs w:val="28"/>
          <w:lang w:val="uk-UA" w:eastAsia="ru-RU"/>
        </w:rPr>
        <w:t>6</w:t>
      </w:r>
      <w:r w:rsidRPr="00C25066">
        <w:rPr>
          <w:rFonts w:ascii="Times New Roman" w:eastAsia="Times New Roman" w:hAnsi="Times New Roman" w:cs="Times New Roman"/>
          <w:color w:val="000000" w:themeColor="text1"/>
          <w:sz w:val="28"/>
          <w:szCs w:val="28"/>
          <w:lang w:eastAsia="ru-RU"/>
        </w:rPr>
        <w:t xml:space="preserve"> закладів дошкільної освіти, </w:t>
      </w:r>
      <w:r w:rsidR="00C25066" w:rsidRPr="00C25066">
        <w:rPr>
          <w:rFonts w:ascii="Times New Roman" w:eastAsia="Times New Roman" w:hAnsi="Times New Roman" w:cs="Times New Roman"/>
          <w:color w:val="000000" w:themeColor="text1"/>
          <w:sz w:val="28"/>
          <w:szCs w:val="28"/>
          <w:lang w:val="uk-UA" w:eastAsia="ru-RU"/>
        </w:rPr>
        <w:t>8</w:t>
      </w:r>
      <w:r w:rsidRPr="00C25066">
        <w:rPr>
          <w:rFonts w:ascii="Times New Roman" w:eastAsia="Times New Roman" w:hAnsi="Times New Roman" w:cs="Times New Roman"/>
          <w:color w:val="000000" w:themeColor="text1"/>
          <w:sz w:val="28"/>
          <w:szCs w:val="28"/>
          <w:lang w:eastAsia="ru-RU"/>
        </w:rPr>
        <w:t xml:space="preserve"> установ загальної середньої освіти, </w:t>
      </w:r>
      <w:r w:rsidR="00C25066" w:rsidRPr="00C25066">
        <w:rPr>
          <w:rFonts w:ascii="Times New Roman" w:eastAsia="Times New Roman" w:hAnsi="Times New Roman" w:cs="Times New Roman"/>
          <w:color w:val="000000" w:themeColor="text1"/>
          <w:sz w:val="28"/>
          <w:szCs w:val="28"/>
          <w:lang w:val="uk-UA" w:eastAsia="ru-RU"/>
        </w:rPr>
        <w:t>7 філій</w:t>
      </w:r>
      <w:r w:rsidRPr="00C25066">
        <w:rPr>
          <w:rFonts w:ascii="Times New Roman" w:eastAsia="Times New Roman" w:hAnsi="Times New Roman" w:cs="Times New Roman"/>
          <w:color w:val="000000" w:themeColor="text1"/>
          <w:sz w:val="28"/>
          <w:szCs w:val="28"/>
          <w:lang w:eastAsia="ru-RU"/>
        </w:rPr>
        <w:t>.</w:t>
      </w:r>
    </w:p>
    <w:p w14:paraId="5421ECCE"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Охорона здоров’я</w:t>
      </w:r>
    </w:p>
    <w:p w14:paraId="348676D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Цілі державної політики у сфері охорони здоров’я направлені на перехід від утримання мережі комунальних закладів охорони здоров’я (ліжок, персоналу) до оплати реальних результатів діяльності цих закладів – фактично наданих пацієнтам медичних послуг.</w:t>
      </w:r>
    </w:p>
    <w:p w14:paraId="258A3EC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2022- 2024роках передбачається здійснити такі заходи:</w:t>
      </w:r>
    </w:p>
    <w:p w14:paraId="4396E08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доступність медичної допомоги для пацієнтів;</w:t>
      </w:r>
    </w:p>
    <w:p w14:paraId="0E30C0D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пропаганда та формування здорового способу життя;</w:t>
      </w:r>
    </w:p>
    <w:p w14:paraId="7F6390A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підвищення доступності та якості надання медичних послуг;</w:t>
      </w:r>
    </w:p>
    <w:p w14:paraId="29B0997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удосконалення системи пільгового забезпечення населення медичними послугами;</w:t>
      </w:r>
    </w:p>
    <w:p w14:paraId="76FBC1B1"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здійснення поступового переходу до розподілу коштів у галузі охорони здоров’я за принципом оплати надання послуг, а не за принципом утримання медичних закладів;</w:t>
      </w:r>
    </w:p>
    <w:p w14:paraId="3342993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виконання селищних програм, спрямованих на поліпшення показників здоров’я населення.</w:t>
      </w:r>
    </w:p>
    <w:p w14:paraId="1CFD8F68"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Основні результати, яких планується досягти:</w:t>
      </w:r>
    </w:p>
    <w:p w14:paraId="46733EE1"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рівня медичного обслуговування населення;</w:t>
      </w:r>
    </w:p>
    <w:p w14:paraId="4E401D1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запровадження нових підходів до організації роботи закладів охорони здоров’я та їх фінансового забезпечення;</w:t>
      </w:r>
    </w:p>
    <w:p w14:paraId="0CAA10D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подальший розвиток системи медичного обслуговування населення та реформування системи охорони здоров’я.</w:t>
      </w:r>
    </w:p>
    <w:p w14:paraId="7355EFFC"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Соціальний захист та соціальне забезпечення</w:t>
      </w:r>
    </w:p>
    <w:p w14:paraId="42E4807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цілями реалізації державної політики у сфері соціального захисту та соціального забезпечення на 2022-2024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p>
    <w:p w14:paraId="53225BF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Завданнями на 2022-2024 роки є:</w:t>
      </w:r>
    </w:p>
    <w:p w14:paraId="682F8FD6"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забезпечення максимальної адресності та наближеності надання відповідної соціальної підтримки тим, хто її потребує;</w:t>
      </w:r>
    </w:p>
    <w:p w14:paraId="03ADF4E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прозорість та доступність в отриманні соціальної підтримки;</w:t>
      </w:r>
    </w:p>
    <w:p w14:paraId="4399654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надання соціальної підтримки з урахуванням уніфікованих критеріїв обрахунку сукупного доходу сім’ї та її фінансово-майнового стану;</w:t>
      </w:r>
    </w:p>
    <w:p w14:paraId="6ECE944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забезпечення захисту прав дитини, у тому числі шляхом розвитку сімейних та інших форм виховання дітей, наближених до сімейних,</w:t>
      </w:r>
    </w:p>
    <w:p w14:paraId="622FAD7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удосконалення механізму запобігання та протидії домашньому насильству та насильству за ознакою статі в умовах децентралізації з урахуванням міжнародних стандартів.</w:t>
      </w:r>
    </w:p>
    <w:p w14:paraId="5A1E12C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Основні результати, яких планується досягти:</w:t>
      </w:r>
    </w:p>
    <w:p w14:paraId="4EC4569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адаптація системи надання соціальних послуг до нових вимог законодавства, спрощення порядку надання соціальних послуг, впровадження нових, сучасних комп’ютерних та Інтернет технологій;</w:t>
      </w:r>
    </w:p>
    <w:p w14:paraId="5D3B561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охоплення соціальним захистом максимальної кількості сімей та малозабезпечених громадян, які потребують підтримки місцевої влади;</w:t>
      </w:r>
    </w:p>
    <w:p w14:paraId="4863A69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покращення соціального діалогу між громадськими організаціями та владою.</w:t>
      </w:r>
    </w:p>
    <w:p w14:paraId="31FC06EB"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Культура і туризм</w:t>
      </w:r>
    </w:p>
    <w:p w14:paraId="2CA2211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Цілями державної політики у сфері культури і туризму є відродження та духовний розвиток традицій і культури української нації.</w:t>
      </w:r>
    </w:p>
    <w:p w14:paraId="62DC4047" w14:textId="52F03D09" w:rsidR="00BF183E" w:rsidRPr="00D56B06"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eastAsia="ru-RU"/>
        </w:rPr>
        <w:t>Протягом 2022-2024 років планується запровадження системи державних стандартів щодо надання культурних послуг населенню</w:t>
      </w:r>
      <w:r w:rsidR="00D56B06">
        <w:rPr>
          <w:rFonts w:ascii="Times New Roman" w:eastAsia="Times New Roman" w:hAnsi="Times New Roman" w:cs="Times New Roman"/>
          <w:color w:val="000000"/>
          <w:sz w:val="28"/>
          <w:szCs w:val="28"/>
          <w:lang w:val="uk-UA" w:eastAsia="ru-RU"/>
        </w:rPr>
        <w:t>.</w:t>
      </w:r>
    </w:p>
    <w:p w14:paraId="6A66B62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14:paraId="01667174" w14:textId="5873F0A0"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w:t>
      </w:r>
      <w:r w:rsidR="00D56B06">
        <w:rPr>
          <w:rFonts w:ascii="Times New Roman" w:eastAsia="Times New Roman" w:hAnsi="Times New Roman" w:cs="Times New Roman"/>
          <w:color w:val="000000"/>
          <w:sz w:val="28"/>
          <w:szCs w:val="28"/>
          <w:lang w:val="uk-UA" w:eastAsia="ru-RU"/>
        </w:rPr>
        <w:t>створення централізованої бібліотечної системи</w:t>
      </w:r>
      <w:r w:rsidRPr="00BF183E">
        <w:rPr>
          <w:rFonts w:ascii="Times New Roman" w:eastAsia="Times New Roman" w:hAnsi="Times New Roman" w:cs="Times New Roman"/>
          <w:color w:val="000000"/>
          <w:sz w:val="28"/>
          <w:szCs w:val="28"/>
          <w:lang w:eastAsia="ru-RU"/>
        </w:rPr>
        <w:t>;</w:t>
      </w:r>
    </w:p>
    <w:p w14:paraId="521B119B" w14:textId="3DEAD58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популяризація народної творчості та проведення культурно-мистецьких заходів;</w:t>
      </w:r>
    </w:p>
    <w:p w14:paraId="737F566D" w14:textId="18F303F0"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проведення фестивалів народної творчості, авторської музики;</w:t>
      </w:r>
    </w:p>
    <w:p w14:paraId="77238735" w14:textId="55FAFE1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розвиток клубних закладів, створення центрів дозвілля та культури;</w:t>
      </w:r>
    </w:p>
    <w:p w14:paraId="290706F3" w14:textId="6FD83F22"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підготовка кадрів сфери культури, створення належних умов для розвитку аматорського мистецтва, самореалізація творчої молоді;</w:t>
      </w:r>
    </w:p>
    <w:p w14:paraId="0DA25426"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упорядкування кількості установ культури та їх штатної чисельності.</w:t>
      </w:r>
    </w:p>
    <w:p w14:paraId="2782EE4D"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Фізична культура та спорт</w:t>
      </w:r>
    </w:p>
    <w:p w14:paraId="64FCD82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Цілями державної політики у сфері фізичної культури та спорту є створення умов для розвитку індивідуальних здібностей спортсменів та досягнення високих спортивних результатів.</w:t>
      </w:r>
    </w:p>
    <w:p w14:paraId="52FD951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Протягом 2022-2024 років планується досягти наступних результатів:</w:t>
      </w:r>
    </w:p>
    <w:p w14:paraId="654D079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створення безпечних умов для залучення широких верств населення до масового спорту;</w:t>
      </w:r>
    </w:p>
    <w:p w14:paraId="5729183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удосконалення механізму утримання мережі сучасних спортивних споруд;</w:t>
      </w:r>
    </w:p>
    <w:p w14:paraId="5E924F6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створення стимулів для здорового способу життя й здорових умов праці шляхом розвитку інфраструктури для занять масовим спортом та активного відпочинку.</w:t>
      </w:r>
    </w:p>
    <w:p w14:paraId="2DFC9AA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є всебічне фізичне виховання та становлення здорової нації.</w:t>
      </w:r>
    </w:p>
    <w:p w14:paraId="4EC4CA2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2022-2024роках передбачається здійснити такі заходи:</w:t>
      </w:r>
    </w:p>
    <w:p w14:paraId="6E8C5F28"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підвищення рівня залучення населення до занять фізичною культурою та масовим спортом, зміцнення здоров’я нації та запобігання захворюванням;</w:t>
      </w:r>
    </w:p>
    <w:p w14:paraId="1A2B80B0" w14:textId="16DBD002"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удосконалення, модернізація та зміцнення матеріально-технічної бази, поліпшенням умов функціонування сучасних спортивних споруд;</w:t>
      </w:r>
    </w:p>
    <w:p w14:paraId="11F49CD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проведення пропагандистської роботи з формування позитивного іміджу фізичного виховання, фізичної культури і спорту. Впровадження соціальної реклами щодо здорового способу життя.</w:t>
      </w:r>
    </w:p>
    <w:p w14:paraId="70324AE2"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Житлово-комунальне господарство</w:t>
      </w:r>
    </w:p>
    <w:p w14:paraId="546FAB5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Реалізація цілей державної політики, власних повноважень органів місцевого самоврядування в сфері утримання благоустрою та розвитку житлово-комунального господарства громади визначених заходами відповідних територіальних програм.</w:t>
      </w:r>
    </w:p>
    <w:p w14:paraId="5B0C664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Пріоритетними напрямками розвитку житлово-комунального господарства є задоволення потреб мешканців в усіх видах житлово- комунальних послуг, створення комфортних умов для проживання, належне утримання об’єктів комунальної власності та об’єктів благоустрою.</w:t>
      </w:r>
    </w:p>
    <w:p w14:paraId="05BD2E9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завданнями та напрямами, за якими буде продовжено роботу в галузі житлово-комунального господарства, є освітлення території громади із застосуванням енергоощадних світильників; відновлення та створення нових зелених зон культурно-масового відпочинку для мешканців громади, покращення стану вулиць.</w:t>
      </w:r>
    </w:p>
    <w:p w14:paraId="45B19E3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w:t>
      </w:r>
    </w:p>
    <w:p w14:paraId="4A107143"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Охорона навколишнього природного середовища</w:t>
      </w:r>
    </w:p>
    <w:p w14:paraId="73D5EEC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14:paraId="7136478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14:paraId="4A62A3A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За рахунок екологічного податку та інших надходжень </w:t>
      </w:r>
      <w:proofErr w:type="gramStart"/>
      <w:r w:rsidRPr="00BF183E">
        <w:rPr>
          <w:rFonts w:ascii="Times New Roman" w:eastAsia="Times New Roman" w:hAnsi="Times New Roman" w:cs="Times New Roman"/>
          <w:color w:val="000000"/>
          <w:sz w:val="28"/>
          <w:szCs w:val="28"/>
          <w:lang w:eastAsia="ru-RU"/>
        </w:rPr>
        <w:t>до бюджету</w:t>
      </w:r>
      <w:proofErr w:type="gramEnd"/>
      <w:r w:rsidRPr="00BF183E">
        <w:rPr>
          <w:rFonts w:ascii="Times New Roman" w:eastAsia="Times New Roman" w:hAnsi="Times New Roman" w:cs="Times New Roman"/>
          <w:color w:val="000000"/>
          <w:sz w:val="28"/>
          <w:szCs w:val="28"/>
          <w:lang w:eastAsia="ru-RU"/>
        </w:rPr>
        <w:t xml:space="preserve"> громади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14:paraId="452C9AD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xml:space="preserve">Ефективне використання комунального майна, земельних ресурсів та екологічної </w:t>
      </w:r>
      <w:proofErr w:type="gramStart"/>
      <w:r w:rsidRPr="00BF183E">
        <w:rPr>
          <w:rFonts w:ascii="Times New Roman" w:eastAsia="Times New Roman" w:hAnsi="Times New Roman" w:cs="Times New Roman"/>
          <w:color w:val="000000"/>
          <w:sz w:val="28"/>
          <w:szCs w:val="28"/>
          <w:lang w:eastAsia="ru-RU"/>
        </w:rPr>
        <w:t>політики  буде</w:t>
      </w:r>
      <w:proofErr w:type="gramEnd"/>
      <w:r w:rsidRPr="00BF183E">
        <w:rPr>
          <w:rFonts w:ascii="Times New Roman" w:eastAsia="Times New Roman" w:hAnsi="Times New Roman" w:cs="Times New Roman"/>
          <w:color w:val="000000"/>
          <w:sz w:val="28"/>
          <w:szCs w:val="28"/>
          <w:lang w:eastAsia="ru-RU"/>
        </w:rPr>
        <w:t xml:space="preserve"> спрямоване на наступні пріоритетні заходи:</w:t>
      </w:r>
    </w:p>
    <w:p w14:paraId="5B3C7F18"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упорядкування земельних відносин;</w:t>
      </w:r>
    </w:p>
    <w:p w14:paraId="3AE4B1E2" w14:textId="49BF0138"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реалізація в повній мірі заходів програми охорони - навколишнього природного середовища, раціонального використання природних ресурсів;</w:t>
      </w:r>
    </w:p>
    <w:p w14:paraId="7288EFBC" w14:textId="088B0071"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w:t>
      </w:r>
      <w:r w:rsidR="00A44045">
        <w:rPr>
          <w:rFonts w:ascii="Times New Roman" w:eastAsia="Times New Roman" w:hAnsi="Times New Roman" w:cs="Times New Roman"/>
          <w:color w:val="000000"/>
          <w:sz w:val="28"/>
          <w:szCs w:val="28"/>
          <w:lang w:val="uk-UA" w:eastAsia="ru-RU"/>
        </w:rPr>
        <w:t xml:space="preserve"> </w:t>
      </w:r>
      <w:r w:rsidRPr="00BF183E">
        <w:rPr>
          <w:rFonts w:ascii="Times New Roman" w:eastAsia="Times New Roman" w:hAnsi="Times New Roman" w:cs="Times New Roman"/>
          <w:color w:val="000000"/>
          <w:sz w:val="28"/>
          <w:szCs w:val="28"/>
          <w:lang w:eastAsia="ru-RU"/>
        </w:rPr>
        <w:t> еколого-просвітницька робота з мешканцями громади, особливо з молоддю, з метою виховання дбайливого ставлення до природи, формування екологічної культури населення;</w:t>
      </w:r>
    </w:p>
    <w:p w14:paraId="0A61E7D3" w14:textId="38FC2E98"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охорона і раціональне використання земель.</w:t>
      </w:r>
    </w:p>
    <w:p w14:paraId="69074C1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результатами, яких планується досягти, є:</w:t>
      </w:r>
    </w:p>
    <w:p w14:paraId="57FFD2CB" w14:textId="2AE7C07B"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покращення екологічного стану навколишнього середовища;</w:t>
      </w:r>
    </w:p>
    <w:p w14:paraId="0C46A2EC" w14:textId="161E7E80"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покращення умов проживання мешканців громади.</w:t>
      </w:r>
    </w:p>
    <w:p w14:paraId="0CE4DDCD" w14:textId="161DF3CB"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w:t>
      </w:r>
      <w:r w:rsidR="00A44045">
        <w:rPr>
          <w:rFonts w:ascii="Times New Roman" w:eastAsia="Times New Roman" w:hAnsi="Times New Roman" w:cs="Times New Roman"/>
          <w:color w:val="000000"/>
          <w:sz w:val="28"/>
          <w:szCs w:val="28"/>
          <w:lang w:val="uk-UA" w:eastAsia="ru-RU"/>
        </w:rPr>
        <w:t xml:space="preserve"> </w:t>
      </w:r>
      <w:r w:rsidRPr="00BF183E">
        <w:rPr>
          <w:rFonts w:ascii="Times New Roman" w:eastAsia="Times New Roman" w:hAnsi="Times New Roman" w:cs="Times New Roman"/>
          <w:color w:val="000000"/>
          <w:sz w:val="28"/>
          <w:szCs w:val="28"/>
          <w:lang w:eastAsia="ru-RU"/>
        </w:rPr>
        <w:t>створення комфортного для проживання середовища шляхом покращення екологічного стану та збалансованого використання природних ресурсів.</w:t>
      </w:r>
    </w:p>
    <w:p w14:paraId="431DBF70" w14:textId="5FDBEE6C"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VIІ. Бюджет розвитку</w:t>
      </w:r>
    </w:p>
    <w:p w14:paraId="1356988D"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67460DD7" w14:textId="77777777" w:rsidR="00BF183E" w:rsidRPr="000957F7"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0957F7">
        <w:rPr>
          <w:rFonts w:ascii="Times New Roman" w:eastAsia="Times New Roman" w:hAnsi="Times New Roman" w:cs="Times New Roman"/>
          <w:color w:val="000000" w:themeColor="text1"/>
          <w:sz w:val="28"/>
          <w:szCs w:val="28"/>
          <w:lang w:eastAsia="ru-RU"/>
        </w:rPr>
        <w:t>Обсяги капітальних вкладень у розрізі інвестиційних проєктів та показники бюджету розвитку за основними видами надходжень та орієнтовними обсягами витрат у середньостроковому періоді наведені у додатках 9, 10.</w:t>
      </w:r>
    </w:p>
    <w:p w14:paraId="058DEF5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Основним фінансовим джерелом реалізації інвестиційних </w:t>
      </w:r>
      <w:proofErr w:type="gramStart"/>
      <w:r w:rsidRPr="00BF183E">
        <w:rPr>
          <w:rFonts w:ascii="Times New Roman" w:eastAsia="Times New Roman" w:hAnsi="Times New Roman" w:cs="Times New Roman"/>
          <w:color w:val="000000"/>
          <w:sz w:val="28"/>
          <w:szCs w:val="28"/>
          <w:lang w:eastAsia="ru-RU"/>
        </w:rPr>
        <w:t>проєктів  у</w:t>
      </w:r>
      <w:proofErr w:type="gramEnd"/>
      <w:r w:rsidRPr="00BF183E">
        <w:rPr>
          <w:rFonts w:ascii="Times New Roman" w:eastAsia="Times New Roman" w:hAnsi="Times New Roman" w:cs="Times New Roman"/>
          <w:color w:val="000000"/>
          <w:sz w:val="28"/>
          <w:szCs w:val="28"/>
          <w:lang w:eastAsia="ru-RU"/>
        </w:rPr>
        <w:t xml:space="preserve"> 2022 – 2024 роках залишається передача коштів загального фонду до бюджету розвитку спеціального фонду бюджету селищної ради.</w:t>
      </w:r>
    </w:p>
    <w:p w14:paraId="312478BC"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виконання інвестиційних проектів бюджетні призначення не передбачаються.</w:t>
      </w:r>
    </w:p>
    <w:p w14:paraId="5F3895BE" w14:textId="7C27219A"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VIІI. Взаємовідносини бюджету з іншими бюджетами</w:t>
      </w:r>
    </w:p>
    <w:p w14:paraId="0440FC9F"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18D584E0" w14:textId="7CD93BA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Обсяги міжбюджетних трансфертів з інших бюджетів </w:t>
      </w:r>
      <w:proofErr w:type="gramStart"/>
      <w:r w:rsidRPr="00BF183E">
        <w:rPr>
          <w:rFonts w:ascii="Times New Roman" w:eastAsia="Times New Roman" w:hAnsi="Times New Roman" w:cs="Times New Roman"/>
          <w:color w:val="000000"/>
          <w:sz w:val="28"/>
          <w:szCs w:val="28"/>
          <w:lang w:eastAsia="ru-RU"/>
        </w:rPr>
        <w:t>для бюджету</w:t>
      </w:r>
      <w:proofErr w:type="gramEnd"/>
      <w:r w:rsidRPr="00BF183E">
        <w:rPr>
          <w:rFonts w:ascii="Times New Roman" w:eastAsia="Times New Roman" w:hAnsi="Times New Roman" w:cs="Times New Roman"/>
          <w:color w:val="000000"/>
          <w:sz w:val="28"/>
          <w:szCs w:val="28"/>
          <w:lang w:eastAsia="ru-RU"/>
        </w:rPr>
        <w:t xml:space="preserve"> </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на 2022-2024 роки (освітня субвенція, базова дотація) передбачається на підставі Бюджетної декларації, прийнятої Верховною Радою України 15 липня 2021 року (додаток 11).</w:t>
      </w:r>
    </w:p>
    <w:p w14:paraId="5257399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Міжбюджетні трансферти мають цільове спрямування і використовуються відповідно до порядків їх використання. Найбільшу питому вагу у обсязі міжбюджетних трансфертів займає освітня субвенція з державного бюджету. Темпи зростання обсягів освітньої субвенції з державного бюджету становлять </w:t>
      </w:r>
      <w:r w:rsidRPr="00BF183E">
        <w:rPr>
          <w:rFonts w:ascii="Times New Roman" w:eastAsia="Times New Roman" w:hAnsi="Times New Roman" w:cs="Times New Roman"/>
          <w:color w:val="000000"/>
          <w:sz w:val="28"/>
          <w:szCs w:val="28"/>
          <w:lang w:eastAsia="ru-RU"/>
        </w:rPr>
        <w:lastRenderedPageBreak/>
        <w:t xml:space="preserve">на 2022 рік </w:t>
      </w:r>
      <w:proofErr w:type="gramStart"/>
      <w:r w:rsidRPr="00BF183E">
        <w:rPr>
          <w:rFonts w:ascii="Times New Roman" w:eastAsia="Times New Roman" w:hAnsi="Times New Roman" w:cs="Times New Roman"/>
          <w:color w:val="000000"/>
          <w:sz w:val="28"/>
          <w:szCs w:val="28"/>
          <w:lang w:eastAsia="ru-RU"/>
        </w:rPr>
        <w:t>до плану</w:t>
      </w:r>
      <w:proofErr w:type="gramEnd"/>
      <w:r w:rsidRPr="00BF183E">
        <w:rPr>
          <w:rFonts w:ascii="Times New Roman" w:eastAsia="Times New Roman" w:hAnsi="Times New Roman" w:cs="Times New Roman"/>
          <w:color w:val="000000"/>
          <w:sz w:val="28"/>
          <w:szCs w:val="28"/>
          <w:lang w:eastAsia="ru-RU"/>
        </w:rPr>
        <w:t xml:space="preserve"> 2021 року – 109,1%, на 2023 рік до проекту 2022 року – 109,5 %, на 2024 рік до проекту 2023 року – 106,8 %.</w:t>
      </w:r>
    </w:p>
    <w:p w14:paraId="7749939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Обсяг міжбюджетних трансфертів з державного бюджету </w:t>
      </w:r>
      <w:proofErr w:type="gramStart"/>
      <w:r w:rsidRPr="00BF183E">
        <w:rPr>
          <w:rFonts w:ascii="Times New Roman" w:eastAsia="Times New Roman" w:hAnsi="Times New Roman" w:cs="Times New Roman"/>
          <w:color w:val="000000"/>
          <w:sz w:val="28"/>
          <w:szCs w:val="28"/>
          <w:lang w:eastAsia="ru-RU"/>
        </w:rPr>
        <w:t>до бюджету</w:t>
      </w:r>
      <w:proofErr w:type="gramEnd"/>
      <w:r w:rsidRPr="00BF183E">
        <w:rPr>
          <w:rFonts w:ascii="Times New Roman" w:eastAsia="Times New Roman" w:hAnsi="Times New Roman" w:cs="Times New Roman"/>
          <w:color w:val="000000"/>
          <w:sz w:val="28"/>
          <w:szCs w:val="28"/>
          <w:lang w:eastAsia="ru-RU"/>
        </w:rPr>
        <w:t xml:space="preserve"> селищної ради прогнозується:</w:t>
      </w:r>
    </w:p>
    <w:p w14:paraId="5CAF44F1" w14:textId="61F6F7C8"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80 886 100</w:t>
      </w:r>
      <w:r w:rsidRPr="00BF183E">
        <w:rPr>
          <w:rFonts w:ascii="Times New Roman" w:eastAsia="Times New Roman" w:hAnsi="Times New Roman" w:cs="Times New Roman"/>
          <w:color w:val="000000"/>
          <w:sz w:val="28"/>
          <w:szCs w:val="28"/>
          <w:lang w:eastAsia="ru-RU"/>
        </w:rPr>
        <w:t>,00 грн;</w:t>
      </w:r>
    </w:p>
    <w:p w14:paraId="4AF4C9F6" w14:textId="146A565C"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90 304 300</w:t>
      </w:r>
      <w:r w:rsidRPr="00BF183E">
        <w:rPr>
          <w:rFonts w:ascii="Times New Roman" w:eastAsia="Times New Roman" w:hAnsi="Times New Roman" w:cs="Times New Roman"/>
          <w:color w:val="000000"/>
          <w:sz w:val="28"/>
          <w:szCs w:val="28"/>
          <w:lang w:eastAsia="ru-RU"/>
        </w:rPr>
        <w:t>,00 грн;</w:t>
      </w:r>
    </w:p>
    <w:p w14:paraId="2BF4B83D" w14:textId="1E773D61"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99 149 600</w:t>
      </w:r>
      <w:r w:rsidRPr="00BF183E">
        <w:rPr>
          <w:rFonts w:ascii="Times New Roman" w:eastAsia="Times New Roman" w:hAnsi="Times New Roman" w:cs="Times New Roman"/>
          <w:color w:val="000000"/>
          <w:sz w:val="28"/>
          <w:szCs w:val="28"/>
          <w:lang w:eastAsia="ru-RU"/>
        </w:rPr>
        <w:t>,00 грн,</w:t>
      </w:r>
    </w:p>
    <w:p w14:paraId="664CB5C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тому числі:</w:t>
      </w:r>
    </w:p>
    <w:p w14:paraId="27E6874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базова дотація:</w:t>
      </w:r>
    </w:p>
    <w:p w14:paraId="51E0B5E3" w14:textId="747ED45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20 239 100</w:t>
      </w:r>
      <w:r w:rsidRPr="00BF183E">
        <w:rPr>
          <w:rFonts w:ascii="Times New Roman" w:eastAsia="Times New Roman" w:hAnsi="Times New Roman" w:cs="Times New Roman"/>
          <w:color w:val="000000"/>
          <w:sz w:val="28"/>
          <w:szCs w:val="28"/>
          <w:lang w:eastAsia="ru-RU"/>
        </w:rPr>
        <w:t>,00 грн;</w:t>
      </w:r>
    </w:p>
    <w:p w14:paraId="34AEB269" w14:textId="7EF0AE0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23 881 000</w:t>
      </w:r>
      <w:r w:rsidRPr="00BF183E">
        <w:rPr>
          <w:rFonts w:ascii="Times New Roman" w:eastAsia="Times New Roman" w:hAnsi="Times New Roman" w:cs="Times New Roman"/>
          <w:color w:val="000000"/>
          <w:sz w:val="28"/>
          <w:szCs w:val="28"/>
          <w:lang w:eastAsia="ru-RU"/>
        </w:rPr>
        <w:t>,00 грн;</w:t>
      </w:r>
    </w:p>
    <w:p w14:paraId="2CFF4408" w14:textId="6054425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28 193 600</w:t>
      </w:r>
      <w:r w:rsidRPr="00BF183E">
        <w:rPr>
          <w:rFonts w:ascii="Times New Roman" w:eastAsia="Times New Roman" w:hAnsi="Times New Roman" w:cs="Times New Roman"/>
          <w:color w:val="000000"/>
          <w:sz w:val="28"/>
          <w:szCs w:val="28"/>
          <w:lang w:eastAsia="ru-RU"/>
        </w:rPr>
        <w:t>,00 грн;</w:t>
      </w:r>
    </w:p>
    <w:p w14:paraId="57E1B13C"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освітня субвенція:</w:t>
      </w:r>
    </w:p>
    <w:p w14:paraId="08592BD5" w14:textId="40C936A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60 647 000</w:t>
      </w:r>
      <w:r w:rsidRPr="00BF183E">
        <w:rPr>
          <w:rFonts w:ascii="Times New Roman" w:eastAsia="Times New Roman" w:hAnsi="Times New Roman" w:cs="Times New Roman"/>
          <w:color w:val="000000"/>
          <w:sz w:val="28"/>
          <w:szCs w:val="28"/>
          <w:lang w:eastAsia="ru-RU"/>
        </w:rPr>
        <w:t>,00 грн;</w:t>
      </w:r>
    </w:p>
    <w:p w14:paraId="5FF34678" w14:textId="6F107AE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66 423 3</w:t>
      </w:r>
      <w:r w:rsidRPr="00BF183E">
        <w:rPr>
          <w:rFonts w:ascii="Times New Roman" w:eastAsia="Times New Roman" w:hAnsi="Times New Roman" w:cs="Times New Roman"/>
          <w:color w:val="000000"/>
          <w:sz w:val="28"/>
          <w:szCs w:val="28"/>
          <w:lang w:eastAsia="ru-RU"/>
        </w:rPr>
        <w:t>00,00 грн;</w:t>
      </w:r>
    </w:p>
    <w:p w14:paraId="5ED7D41D" w14:textId="143E1FB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70 956 000</w:t>
      </w:r>
      <w:r w:rsidRPr="00BF183E">
        <w:rPr>
          <w:rFonts w:ascii="Times New Roman" w:eastAsia="Times New Roman" w:hAnsi="Times New Roman" w:cs="Times New Roman"/>
          <w:color w:val="000000"/>
          <w:sz w:val="28"/>
          <w:szCs w:val="28"/>
          <w:lang w:eastAsia="ru-RU"/>
        </w:rPr>
        <w:t>,00 грн;</w:t>
      </w:r>
    </w:p>
    <w:p w14:paraId="18F133D4" w14:textId="450B47B4"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IX. Інші положення та показники прогнозу бюджету</w:t>
      </w:r>
    </w:p>
    <w:p w14:paraId="5CCAAF89"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785E16F1" w14:textId="3B535DB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У прогнозі бюджету </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на 2022-2024 роки відсутня інформація для заповнення додатків 4 «Показники місцевого боргу», 5 «Показники гарантованого селищною радою боргу і надання місцевих гарантій» та 8 «Граничні показники кредитування бюджету за Типовою програмною класифікацією видатків та кредитування місцевого бюджету».</w:t>
      </w:r>
    </w:p>
    <w:p w14:paraId="4CA30DF7" w14:textId="1E1DB60A" w:rsid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Конкретні показники обсягів бюджету </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на 2022-2024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на відповідні роки.</w:t>
      </w:r>
    </w:p>
    <w:p w14:paraId="7E4AE4F0" w14:textId="77777777" w:rsidR="000C2029" w:rsidRDefault="000C2029"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
    <w:p w14:paraId="2C2F553B" w14:textId="3F47EAE6" w:rsidR="000C2029" w:rsidRPr="00BF183E" w:rsidRDefault="000C2029" w:rsidP="00BF183E">
      <w:pPr>
        <w:shd w:val="clear" w:color="auto" w:fill="FFFFFF"/>
        <w:spacing w:after="225" w:line="240" w:lineRule="auto"/>
        <w:jc w:val="both"/>
        <w:textAlignment w:val="baseline"/>
        <w:rPr>
          <w:rFonts w:ascii="Times New Roman" w:eastAsia="Times New Roman" w:hAnsi="Times New Roman" w:cs="Times New Roman"/>
          <w:b/>
          <w:color w:val="000000"/>
          <w:sz w:val="28"/>
          <w:szCs w:val="28"/>
          <w:lang w:val="uk-UA" w:eastAsia="ru-RU"/>
        </w:rPr>
      </w:pPr>
      <w:r w:rsidRPr="000C2029">
        <w:rPr>
          <w:rFonts w:ascii="Times New Roman" w:eastAsia="Times New Roman" w:hAnsi="Times New Roman" w:cs="Times New Roman"/>
          <w:b/>
          <w:color w:val="000000"/>
          <w:sz w:val="28"/>
          <w:szCs w:val="28"/>
          <w:lang w:val="uk-UA" w:eastAsia="ru-RU"/>
        </w:rPr>
        <w:t>Начальниу фінансового відділу</w:t>
      </w:r>
    </w:p>
    <w:p w14:paraId="24C89866" w14:textId="08BB94FD" w:rsidR="00BF183E" w:rsidRPr="00BF183E" w:rsidRDefault="000C2029" w:rsidP="00BF183E">
      <w:pPr>
        <w:shd w:val="clear" w:color="auto" w:fill="FFFFFF"/>
        <w:spacing w:after="225" w:line="240" w:lineRule="auto"/>
        <w:jc w:val="both"/>
        <w:textAlignment w:val="baseline"/>
        <w:rPr>
          <w:rFonts w:ascii="Times New Roman" w:eastAsia="Times New Roman" w:hAnsi="Times New Roman" w:cs="Times New Roman"/>
          <w:b/>
          <w:color w:val="000000"/>
          <w:sz w:val="28"/>
          <w:szCs w:val="28"/>
          <w:lang w:val="uk-UA" w:eastAsia="ru-RU"/>
        </w:rPr>
      </w:pPr>
      <w:r w:rsidRPr="000C2029">
        <w:rPr>
          <w:rFonts w:ascii="Times New Roman" w:eastAsia="Times New Roman" w:hAnsi="Times New Roman" w:cs="Times New Roman"/>
          <w:b/>
          <w:color w:val="000000"/>
          <w:sz w:val="28"/>
          <w:szCs w:val="28"/>
          <w:lang w:val="uk-UA" w:eastAsia="ru-RU"/>
        </w:rPr>
        <w:t>Красненської</w:t>
      </w:r>
      <w:r w:rsidR="00BF183E" w:rsidRPr="00BF183E">
        <w:rPr>
          <w:rFonts w:ascii="Times New Roman" w:eastAsia="Times New Roman" w:hAnsi="Times New Roman" w:cs="Times New Roman"/>
          <w:b/>
          <w:color w:val="000000"/>
          <w:sz w:val="28"/>
          <w:szCs w:val="28"/>
          <w:lang w:eastAsia="ru-RU"/>
        </w:rPr>
        <w:t xml:space="preserve"> селищної ради                                    </w:t>
      </w:r>
      <w:r w:rsidRPr="000C2029">
        <w:rPr>
          <w:rFonts w:ascii="Times New Roman" w:eastAsia="Times New Roman" w:hAnsi="Times New Roman" w:cs="Times New Roman"/>
          <w:b/>
          <w:color w:val="000000"/>
          <w:sz w:val="28"/>
          <w:szCs w:val="28"/>
          <w:lang w:val="uk-UA" w:eastAsia="ru-RU"/>
        </w:rPr>
        <w:t>Михайло ГАВІНСЬКИЙ</w:t>
      </w:r>
    </w:p>
    <w:p w14:paraId="6DED562A" w14:textId="77777777" w:rsidR="007366B0" w:rsidRPr="00BF183E" w:rsidRDefault="007366B0" w:rsidP="00BF183E">
      <w:pPr>
        <w:jc w:val="both"/>
        <w:rPr>
          <w:rFonts w:ascii="Times New Roman" w:hAnsi="Times New Roman" w:cs="Times New Roman"/>
          <w:sz w:val="28"/>
          <w:szCs w:val="28"/>
        </w:rPr>
      </w:pPr>
    </w:p>
    <w:sectPr w:rsidR="007366B0" w:rsidRPr="00BF1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altName w:val="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hideSpellingErrors/>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D7D"/>
    <w:rsid w:val="000957F7"/>
    <w:rsid w:val="000C2029"/>
    <w:rsid w:val="000E7D7D"/>
    <w:rsid w:val="001325AF"/>
    <w:rsid w:val="003547E0"/>
    <w:rsid w:val="003D4126"/>
    <w:rsid w:val="003D5D4A"/>
    <w:rsid w:val="00401A2B"/>
    <w:rsid w:val="00437E36"/>
    <w:rsid w:val="004A447C"/>
    <w:rsid w:val="004F6281"/>
    <w:rsid w:val="00520C68"/>
    <w:rsid w:val="00583E1C"/>
    <w:rsid w:val="005D10C5"/>
    <w:rsid w:val="006E096D"/>
    <w:rsid w:val="007012A0"/>
    <w:rsid w:val="007366B0"/>
    <w:rsid w:val="00773FBC"/>
    <w:rsid w:val="007B1295"/>
    <w:rsid w:val="00847E6E"/>
    <w:rsid w:val="008612D3"/>
    <w:rsid w:val="008B08CC"/>
    <w:rsid w:val="00A44045"/>
    <w:rsid w:val="00BF183E"/>
    <w:rsid w:val="00C25066"/>
    <w:rsid w:val="00C62161"/>
    <w:rsid w:val="00D27414"/>
    <w:rsid w:val="00D362A3"/>
    <w:rsid w:val="00D56B06"/>
    <w:rsid w:val="00F34055"/>
    <w:rsid w:val="00F65CAF"/>
    <w:rsid w:val="00FA5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2909E"/>
  <w15:chartTrackingRefBased/>
  <w15:docId w15:val="{44DCC252-119D-4EFB-8462-4B3B73604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BF18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183E"/>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F18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F18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8871568">
      <w:bodyDiv w:val="1"/>
      <w:marLeft w:val="0"/>
      <w:marRight w:val="0"/>
      <w:marTop w:val="0"/>
      <w:marBottom w:val="0"/>
      <w:divBdr>
        <w:top w:val="none" w:sz="0" w:space="0" w:color="auto"/>
        <w:left w:val="none" w:sz="0" w:space="0" w:color="auto"/>
        <w:bottom w:val="none" w:sz="0" w:space="0" w:color="auto"/>
        <w:right w:val="none" w:sz="0" w:space="0" w:color="auto"/>
      </w:divBdr>
    </w:div>
    <w:div w:id="15980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6632EB-9C62-4D59-B187-CD925860E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16</Pages>
  <Words>20694</Words>
  <Characters>11797</Characters>
  <Application>Microsoft Office Word</Application>
  <DocSecurity>0</DocSecurity>
  <Lines>98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dcterms:created xsi:type="dcterms:W3CDTF">2021-08-31T11:23:00Z</dcterms:created>
  <dcterms:modified xsi:type="dcterms:W3CDTF">2021-10-06T11:57:00Z</dcterms:modified>
</cp:coreProperties>
</file>