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B5" w:rsidRDefault="005701B5" w:rsidP="005701B5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5701B5" w:rsidRDefault="005701B5" w:rsidP="005701B5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5701B5" w:rsidRDefault="005701B5" w:rsidP="005701B5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5701B5" w:rsidRDefault="005701B5" w:rsidP="005701B5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5701B5" w:rsidRDefault="005701B5" w:rsidP="005701B5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5701B5" w:rsidRDefault="005701B5" w:rsidP="005701B5">
      <w:pPr>
        <w:jc w:val="center"/>
        <w:outlineLvl w:val="0"/>
        <w:rPr>
          <w:b/>
          <w:sz w:val="28"/>
          <w:szCs w:val="28"/>
        </w:rPr>
      </w:pPr>
    </w:p>
    <w:p w:rsidR="005701B5" w:rsidRDefault="005701B5" w:rsidP="005701B5">
      <w:pPr>
        <w:jc w:val="center"/>
        <w:outlineLvl w:val="0"/>
        <w:rPr>
          <w:b/>
          <w:sz w:val="28"/>
          <w:szCs w:val="28"/>
        </w:rPr>
      </w:pPr>
    </w:p>
    <w:p w:rsidR="005701B5" w:rsidRPr="00144B60" w:rsidRDefault="005701B5" w:rsidP="00144B60">
      <w:pPr>
        <w:jc w:val="center"/>
        <w:outlineLvl w:val="0"/>
        <w:rPr>
          <w:b/>
          <w:sz w:val="32"/>
          <w:szCs w:val="32"/>
        </w:rPr>
      </w:pPr>
      <w:r w:rsidRPr="00144B60">
        <w:rPr>
          <w:b/>
          <w:sz w:val="32"/>
          <w:szCs w:val="32"/>
        </w:rPr>
        <w:t>Розпорядження № 110</w:t>
      </w:r>
    </w:p>
    <w:p w:rsidR="005701B5" w:rsidRDefault="005701B5" w:rsidP="005701B5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5701B5" w:rsidRPr="00144B60" w:rsidRDefault="005701B5" w:rsidP="005701B5">
      <w:pPr>
        <w:rPr>
          <w:sz w:val="28"/>
          <w:szCs w:val="28"/>
        </w:rPr>
      </w:pPr>
      <w:r w:rsidRPr="00144B60">
        <w:rPr>
          <w:sz w:val="28"/>
          <w:szCs w:val="28"/>
        </w:rPr>
        <w:t>25 квітня  2018 р.</w:t>
      </w:r>
    </w:p>
    <w:p w:rsidR="005701B5" w:rsidRPr="00144B60" w:rsidRDefault="005701B5" w:rsidP="005701B5">
      <w:pPr>
        <w:rPr>
          <w:sz w:val="28"/>
          <w:szCs w:val="28"/>
        </w:rPr>
      </w:pPr>
    </w:p>
    <w:p w:rsidR="005701B5" w:rsidRPr="00144B60" w:rsidRDefault="005701B5" w:rsidP="005701B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«Про надання надбавки працівникам</w:t>
      </w:r>
    </w:p>
    <w:p w:rsidR="005701B5" w:rsidRPr="00144B60" w:rsidRDefault="005701B5" w:rsidP="005701B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апарату сільської ради ОТГ за квітень  2018 року.»</w:t>
      </w:r>
    </w:p>
    <w:p w:rsidR="005701B5" w:rsidRPr="00144B60" w:rsidRDefault="005701B5" w:rsidP="005701B5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tbl>
      <w:tblPr>
        <w:tblW w:w="0" w:type="auto"/>
        <w:tblCellSpacing w:w="15" w:type="dxa"/>
        <w:tblLook w:val="04A0"/>
      </w:tblPr>
      <w:tblGrid>
        <w:gridCol w:w="4865"/>
        <w:gridCol w:w="4864"/>
      </w:tblGrid>
      <w:tr w:rsidR="005701B5" w:rsidRPr="00144B60" w:rsidTr="00680B3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01B5" w:rsidRPr="00144B60" w:rsidRDefault="005701B5" w:rsidP="004F0189">
            <w:pPr>
              <w:spacing w:after="100" w:afterAutospacing="1" w:line="276" w:lineRule="auto"/>
              <w:jc w:val="both"/>
              <w:rPr>
                <w:bCs/>
                <w:color w:val="175B7C"/>
                <w:sz w:val="28"/>
                <w:szCs w:val="28"/>
                <w:lang w:eastAsia="en-US"/>
              </w:rPr>
            </w:pPr>
            <w:r w:rsidRPr="00144B60">
              <w:rPr>
                <w:rStyle w:val="a4"/>
                <w:b w:val="0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>Керуючись п. 2 Постанови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      </w:r>
            <w:r w:rsidR="004F0189" w:rsidRPr="00144B60">
              <w:rPr>
                <w:rStyle w:val="a4"/>
                <w:b w:val="0"/>
                <w:color w:val="000000"/>
                <w:sz w:val="28"/>
                <w:szCs w:val="28"/>
                <w:bdr w:val="none" w:sz="0" w:space="0" w:color="auto" w:frame="1"/>
                <w:lang w:eastAsia="en-US"/>
              </w:rPr>
              <w:t xml:space="preserve">, а саме </w:t>
            </w:r>
            <w:r w:rsidR="004F0189" w:rsidRPr="00144B60">
              <w:rPr>
                <w:color w:val="000000"/>
                <w:sz w:val="28"/>
                <w:szCs w:val="28"/>
                <w:shd w:val="clear" w:color="auto" w:fill="FFFFFF"/>
              </w:rPr>
              <w:t xml:space="preserve">у розмірі </w:t>
            </w:r>
            <w:r w:rsidR="004F0189" w:rsidRPr="00144B60">
              <w:rPr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до 50 відсотків</w:t>
            </w:r>
            <w:r w:rsidR="004F0189" w:rsidRPr="00144B60">
              <w:rPr>
                <w:color w:val="000000"/>
                <w:sz w:val="28"/>
                <w:szCs w:val="28"/>
                <w:shd w:val="clear" w:color="auto" w:fill="FFFFFF"/>
              </w:rPr>
              <w:t xml:space="preserve"> посадового окладу з урахуванням надбавки за ранг та надбавки за вислугу років; </w:t>
            </w:r>
            <w:r w:rsidR="004F0189" w:rsidRPr="00144B60">
              <w:rPr>
                <w:color w:val="000000"/>
                <w:sz w:val="28"/>
                <w:szCs w:val="28"/>
              </w:rPr>
              <w:br/>
            </w:r>
          </w:p>
        </w:tc>
      </w:tr>
      <w:tr w:rsidR="005701B5" w:rsidRPr="00144B60" w:rsidTr="00680B3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01B5" w:rsidRPr="00144B60" w:rsidRDefault="005701B5" w:rsidP="00680B3A">
            <w:pPr>
              <w:spacing w:line="276" w:lineRule="auto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01B5" w:rsidRPr="00144B60" w:rsidRDefault="005701B5" w:rsidP="00680B3A">
            <w:pPr>
              <w:spacing w:line="276" w:lineRule="auto"/>
              <w:rPr>
                <w:rFonts w:asciiTheme="minorHAnsi" w:eastAsiaTheme="minorHAnsi" w:hAnsiTheme="minorHAnsi"/>
                <w:sz w:val="28"/>
                <w:szCs w:val="28"/>
                <w:lang w:eastAsia="en-US"/>
              </w:rPr>
            </w:pPr>
          </w:p>
        </w:tc>
      </w:tr>
    </w:tbl>
    <w:p w:rsidR="005701B5" w:rsidRPr="00144B60" w:rsidRDefault="004F0189" w:rsidP="00F73C8C">
      <w:pPr>
        <w:pStyle w:val="a3"/>
        <w:shd w:val="clear" w:color="auto" w:fill="FFFFFF"/>
        <w:spacing w:before="0" w:beforeAutospacing="0" w:line="0" w:lineRule="atLeast"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Надати надбавку</w:t>
      </w:r>
      <w:r w:rsidRPr="00144B60">
        <w:rPr>
          <w:color w:val="000000"/>
          <w:sz w:val="28"/>
          <w:szCs w:val="28"/>
          <w:shd w:val="clear" w:color="auto" w:fill="FFFFFF"/>
        </w:rPr>
        <w:t xml:space="preserve"> </w:t>
      </w:r>
      <w:r w:rsidR="00F73C8C" w:rsidRPr="00144B60">
        <w:rPr>
          <w:color w:val="000000"/>
          <w:sz w:val="28"/>
          <w:szCs w:val="28"/>
          <w:shd w:val="clear" w:color="auto" w:fill="FFFFFF"/>
        </w:rPr>
        <w:t>за високі досягнення у праці та</w:t>
      </w:r>
      <w:r w:rsidRPr="00144B60">
        <w:rPr>
          <w:color w:val="000000"/>
          <w:sz w:val="28"/>
          <w:szCs w:val="28"/>
          <w:shd w:val="clear" w:color="auto" w:fill="FFFFFF"/>
        </w:rPr>
        <w:t xml:space="preserve"> за виконання особливо важливої</w:t>
      </w:r>
      <w:r w:rsidR="00F73C8C" w:rsidRPr="00144B60">
        <w:rPr>
          <w:color w:val="000000"/>
          <w:sz w:val="28"/>
          <w:szCs w:val="28"/>
          <w:shd w:val="clear" w:color="auto" w:fill="FFFFFF"/>
        </w:rPr>
        <w:t xml:space="preserve"> </w:t>
      </w:r>
      <w:r w:rsidRPr="00144B60">
        <w:rPr>
          <w:color w:val="000000"/>
          <w:sz w:val="28"/>
          <w:szCs w:val="28"/>
          <w:shd w:val="clear" w:color="auto" w:fill="FFFFFF"/>
        </w:rPr>
        <w:t>роботи</w:t>
      </w:r>
      <w:r w:rsidR="00F73C8C" w:rsidRPr="00144B60">
        <w:rPr>
          <w:color w:val="000000"/>
          <w:sz w:val="28"/>
          <w:szCs w:val="28"/>
          <w:shd w:val="clear" w:color="auto" w:fill="FFFFFF"/>
        </w:rPr>
        <w:t xml:space="preserve"> наступним 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працівникам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ап</w:t>
      </w:r>
      <w:r w:rsidR="00F73C8C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арату сільської ради:</w:t>
      </w:r>
    </w:p>
    <w:p w:rsidR="004F0189" w:rsidRPr="00144B60" w:rsidRDefault="005701B5" w:rsidP="00144B60">
      <w:pPr>
        <w:pStyle w:val="a6"/>
        <w:numPr>
          <w:ilvl w:val="0"/>
          <w:numId w:val="3"/>
        </w:numPr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у розмірі </w:t>
      </w:r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20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% наступни</w:t>
      </w:r>
      <w:r w:rsidR="00F73C8C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працівник</w:t>
      </w:r>
      <w:r w:rsidR="00F73C8C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ам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:  </w:t>
      </w:r>
      <w:proofErr w:type="spellStart"/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Хомяк</w:t>
      </w:r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у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О.Р., Свистуну Б.І.,   Грицуню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І</w:t>
      </w:r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.І.</w:t>
      </w:r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Петричці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С.Я..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Гайвась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М.М.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Тимунь</w:t>
      </w:r>
      <w:proofErr w:type="spellEnd"/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Г.Я.,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Галятовській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М.М.,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Кіянкці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Г.Ю.,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Грень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О.Р.,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Галянтій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Н.В.,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Набиванець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І.Р.,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Шай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Х.М.,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Вертас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М.Й., Сидор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у</w:t>
      </w:r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Р.Б.,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Кузик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В.В., </w:t>
      </w:r>
      <w:proofErr w:type="spellStart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Блисців</w:t>
      </w:r>
      <w:proofErr w:type="spellEnd"/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М. Д., Матвійчук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у</w:t>
      </w:r>
      <w:r w:rsidR="00F71174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Т.Д.</w:t>
      </w:r>
      <w:r w:rsidR="00C3746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C3746E" w:rsidRPr="00C3746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C3746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Сохань Г.М.;</w:t>
      </w:r>
    </w:p>
    <w:p w:rsidR="00144B60" w:rsidRPr="00144B60" w:rsidRDefault="00144B60" w:rsidP="00144B60">
      <w:pPr>
        <w:pStyle w:val="a6"/>
        <w:ind w:left="765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4F0189" w:rsidRDefault="005701B5" w:rsidP="00144B60">
      <w:pPr>
        <w:pStyle w:val="a6"/>
        <w:numPr>
          <w:ilvl w:val="0"/>
          <w:numId w:val="3"/>
        </w:numPr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у  розмірі 30% наступни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працівник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ам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: Андросюк З.П., </w:t>
      </w:r>
      <w:proofErr w:type="spellStart"/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Війтович</w:t>
      </w:r>
      <w:proofErr w:type="spellEnd"/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Г.Ю., </w:t>
      </w:r>
      <w:proofErr w:type="spellStart"/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Леськів</w:t>
      </w:r>
      <w:proofErr w:type="spellEnd"/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Є.В.</w:t>
      </w:r>
      <w:r w:rsid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Михалюк</w:t>
      </w:r>
      <w:proofErr w:type="spellEnd"/>
      <w:r w:rsid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Г. В.,</w:t>
      </w:r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Сушинського</w:t>
      </w:r>
      <w:proofErr w:type="spellEnd"/>
      <w:r w:rsid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М.В.,</w:t>
      </w:r>
      <w:r w:rsidR="004F0189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Волошин Л.А.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;</w:t>
      </w:r>
    </w:p>
    <w:p w:rsidR="00144B60" w:rsidRPr="00144B60" w:rsidRDefault="00144B60" w:rsidP="00144B60">
      <w:pPr>
        <w:pStyle w:val="a6"/>
        <w:ind w:left="765"/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:rsidR="005701B5" w:rsidRPr="00144B60" w:rsidRDefault="00F71174" w:rsidP="00144B6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у розмірі 50% 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наступни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 працівникам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: Пиріг Л.Р., </w:t>
      </w:r>
      <w:proofErr w:type="spellStart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Доценко</w:t>
      </w:r>
      <w:proofErr w:type="spellEnd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З.І., </w:t>
      </w:r>
      <w:proofErr w:type="spellStart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Світлик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у</w:t>
      </w:r>
      <w:proofErr w:type="spellEnd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В. М.</w:t>
      </w:r>
      <w:r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Чорн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ій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Н.Я., </w:t>
      </w:r>
      <w:proofErr w:type="spellStart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Осміловсько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му</w:t>
      </w:r>
      <w:proofErr w:type="spellEnd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В.І., Галас І.З.</w:t>
      </w:r>
      <w:r w:rsidR="00C3746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,</w:t>
      </w:r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Ковальчук Н.О., </w:t>
      </w:r>
      <w:proofErr w:type="spellStart"/>
      <w:r w:rsidR="005701B5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Федецьк</w:t>
      </w:r>
      <w:r w:rsidR="00144B60" w:rsidRPr="00144B60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ій</w:t>
      </w:r>
      <w:proofErr w:type="spellEnd"/>
      <w:r w:rsidR="00C3746E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О.С..</w:t>
      </w:r>
    </w:p>
    <w:p w:rsidR="00F71174" w:rsidRDefault="00F71174" w:rsidP="00F71174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F71174" w:rsidRPr="00F71174" w:rsidRDefault="00F71174" w:rsidP="00F71174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5701B5" w:rsidRDefault="005701B5" w:rsidP="005701B5">
      <w:pPr>
        <w:jc w:val="center"/>
        <w:rPr>
          <w:sz w:val="24"/>
        </w:rPr>
      </w:pPr>
    </w:p>
    <w:p w:rsidR="005701B5" w:rsidRDefault="005701B5" w:rsidP="005701B5">
      <w:pPr>
        <w:jc w:val="center"/>
        <w:rPr>
          <w:sz w:val="24"/>
        </w:rPr>
      </w:pPr>
    </w:p>
    <w:p w:rsidR="005701B5" w:rsidRPr="00144B60" w:rsidRDefault="005701B5" w:rsidP="005701B5">
      <w:pPr>
        <w:jc w:val="center"/>
        <w:rPr>
          <w:sz w:val="32"/>
          <w:szCs w:val="32"/>
        </w:rPr>
      </w:pPr>
      <w:r w:rsidRPr="00144B60">
        <w:rPr>
          <w:sz w:val="32"/>
          <w:szCs w:val="32"/>
        </w:rPr>
        <w:t xml:space="preserve">Сільський голова                                                  </w:t>
      </w:r>
      <w:proofErr w:type="spellStart"/>
      <w:r w:rsidRPr="00144B60">
        <w:rPr>
          <w:sz w:val="32"/>
          <w:szCs w:val="32"/>
        </w:rPr>
        <w:t>Петрух</w:t>
      </w:r>
      <w:proofErr w:type="spellEnd"/>
      <w:r w:rsidRPr="00144B60">
        <w:rPr>
          <w:sz w:val="32"/>
          <w:szCs w:val="32"/>
        </w:rPr>
        <w:t xml:space="preserve"> З.В.</w:t>
      </w:r>
    </w:p>
    <w:p w:rsidR="005701B5" w:rsidRDefault="005701B5" w:rsidP="005701B5"/>
    <w:p w:rsidR="005701B5" w:rsidRDefault="005701B5" w:rsidP="005701B5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1153C"/>
    <w:multiLevelType w:val="hybridMultilevel"/>
    <w:tmpl w:val="64987AFA"/>
    <w:lvl w:ilvl="0" w:tplc="042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5701B5"/>
    <w:rsid w:val="00144B60"/>
    <w:rsid w:val="002C743B"/>
    <w:rsid w:val="00430FF2"/>
    <w:rsid w:val="00486BF3"/>
    <w:rsid w:val="004F0189"/>
    <w:rsid w:val="00557D42"/>
    <w:rsid w:val="005701B5"/>
    <w:rsid w:val="007C61D6"/>
    <w:rsid w:val="00C23864"/>
    <w:rsid w:val="00C3746E"/>
    <w:rsid w:val="00CA3069"/>
    <w:rsid w:val="00F71174"/>
    <w:rsid w:val="00F7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B5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01B5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701B5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5701B5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5701B5"/>
    <w:rPr>
      <w:b/>
      <w:bCs/>
    </w:rPr>
  </w:style>
  <w:style w:type="character" w:styleId="a5">
    <w:name w:val="Hyperlink"/>
    <w:basedOn w:val="a0"/>
    <w:uiPriority w:val="99"/>
    <w:semiHidden/>
    <w:unhideWhenUsed/>
    <w:rsid w:val="004F018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3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110</vt:lpstr>
      <vt:lpstr>        </vt:lpstr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2018-04-27T06:33:00Z</cp:lastPrinted>
  <dcterms:created xsi:type="dcterms:W3CDTF">2018-04-25T13:52:00Z</dcterms:created>
  <dcterms:modified xsi:type="dcterms:W3CDTF">2018-04-27T06:40:00Z</dcterms:modified>
</cp:coreProperties>
</file>