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FB" w:rsidRDefault="002F62F6" w:rsidP="002F62F6">
      <w:pPr>
        <w:spacing w:after="0" w:line="240" w:lineRule="auto"/>
        <w:ind w:left="4395"/>
        <w:rPr>
          <w:rFonts w:ascii="Times New Roman" w:hAnsi="Times New Roman"/>
          <w:sz w:val="28"/>
          <w:szCs w:val="20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0"/>
          <w:lang w:val="uk-UA" w:eastAsia="ru-RU"/>
        </w:rPr>
        <w:t>ЗАТВЕРДЖЕНО</w:t>
      </w:r>
    </w:p>
    <w:p w:rsidR="002F62F6" w:rsidRDefault="002F62F6" w:rsidP="002F62F6">
      <w:pPr>
        <w:spacing w:after="0" w:line="240" w:lineRule="auto"/>
        <w:ind w:left="4395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Рішення селищної ради</w:t>
      </w:r>
    </w:p>
    <w:p w:rsidR="002F62F6" w:rsidRPr="002F62F6" w:rsidRDefault="002F62F6" w:rsidP="002F62F6">
      <w:pPr>
        <w:spacing w:after="0" w:line="240" w:lineRule="auto"/>
        <w:ind w:left="4395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від ____ __________ 2021 року №_____</w:t>
      </w: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8841FB" w:rsidRPr="004C16AC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2F62F6" w:rsidRDefault="002F62F6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F62F6" w:rsidRDefault="002F62F6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noProof/>
          <w:sz w:val="28"/>
          <w:szCs w:val="20"/>
          <w:lang w:val="uk-UA" w:eastAsia="uk-UA"/>
        </w:rPr>
        <w:drawing>
          <wp:inline distT="0" distB="0" distL="0" distR="0" wp14:anchorId="09BECA9B" wp14:editId="776F4943">
            <wp:extent cx="962025" cy="1171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2F6" w:rsidRDefault="002F62F6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ГРОМАДСЬКА ОРГАНІЗАЦІЯ </w:t>
      </w: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«НОВОАРХАНГЕЛЬСЬКА РАЙОННА ФЕДЕРАЦІЯ ФУТБОЛУ»</w:t>
      </w:r>
    </w:p>
    <w:p w:rsidR="008841FB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hAnsi="Times New Roman"/>
          <w:b/>
          <w:sz w:val="20"/>
          <w:szCs w:val="20"/>
          <w:lang w:val="uk-UA" w:eastAsia="ru-RU"/>
        </w:rPr>
        <w:t>26100 смт. Новоархангельськ вул. Набережна, 32</w:t>
      </w:r>
    </w:p>
    <w:p w:rsidR="008841FB" w:rsidRPr="002B2176" w:rsidRDefault="008841FB" w:rsidP="008841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hAnsi="Times New Roman"/>
          <w:b/>
          <w:sz w:val="20"/>
          <w:szCs w:val="20"/>
          <w:lang w:val="en-US" w:eastAsia="ru-RU"/>
        </w:rPr>
        <w:t>UA</w:t>
      </w:r>
      <w:r>
        <w:rPr>
          <w:rFonts w:ascii="Times New Roman" w:hAnsi="Times New Roman"/>
          <w:b/>
          <w:sz w:val="20"/>
          <w:szCs w:val="20"/>
          <w:lang w:val="uk-UA" w:eastAsia="ru-RU"/>
        </w:rPr>
        <w:t>213234750000002600301660570, ЄДРПОУ 39947812, МФО 323475, АТ «Ощадбанк»</w:t>
      </w:r>
    </w:p>
    <w:p w:rsidR="008A0F26" w:rsidRPr="00791547" w:rsidRDefault="008A0F26" w:rsidP="008A0F26">
      <w:pPr>
        <w:spacing w:line="240" w:lineRule="auto"/>
        <w:jc w:val="center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noProof/>
          <w:color w:val="333333"/>
          <w:sz w:val="27"/>
          <w:szCs w:val="27"/>
          <w:lang w:val="uk-UA" w:eastAsia="uk-UA"/>
        </w:rPr>
        <mc:AlternateContent>
          <mc:Choice Requires="wps">
            <w:drawing>
              <wp:inline distT="0" distB="0" distL="0" distR="0" wp14:anchorId="23FC1F66" wp14:editId="1A4D465A">
                <wp:extent cx="304800" cy="304800"/>
                <wp:effectExtent l="0" t="0" r="0" b="0"/>
                <wp:docPr id="1" name="Прямоугольник 1" descr="Кабінет Міністрів Україн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Кабінет Міністрів Україн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dm4ksgoDAAAB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8A0F26" w:rsidRPr="00791547" w:rsidRDefault="008A0F26" w:rsidP="008A0F26">
      <w:pPr>
        <w:spacing w:before="525" w:after="525" w:line="240" w:lineRule="auto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ru-RU"/>
        </w:rPr>
      </w:pPr>
    </w:p>
    <w:p w:rsidR="008A0F26" w:rsidRPr="00791547" w:rsidRDefault="008A0F26" w:rsidP="008A0F26">
      <w:pPr>
        <w:spacing w:after="240" w:line="405" w:lineRule="atLeast"/>
        <w:ind w:left="3744"/>
        <w:jc w:val="center"/>
        <w:textAlignment w:val="baseline"/>
        <w:rPr>
          <w:rFonts w:ascii="Antiqua" w:eastAsia="Times New Roman" w:hAnsi="Antiqua" w:cs="Times New Roman"/>
          <w:color w:val="1D1D1B"/>
          <w:sz w:val="28"/>
          <w:szCs w:val="28"/>
          <w:lang w:val="uk-UA" w:eastAsia="ru-RU"/>
        </w:rPr>
      </w:pPr>
      <w:r w:rsidRPr="00791547">
        <w:rPr>
          <w:rFonts w:ascii="ProbaPro" w:eastAsia="Times New Roman" w:hAnsi="ProbaPro" w:cs="Times New Roman"/>
          <w:color w:val="1D1D1B"/>
          <w:sz w:val="28"/>
          <w:szCs w:val="28"/>
          <w:bdr w:val="none" w:sz="0" w:space="0" w:color="auto" w:frame="1"/>
          <w:lang w:eastAsia="ru-RU"/>
        </w:rPr>
        <w:br/>
      </w:r>
      <w:r w:rsidRPr="00791547">
        <w:rPr>
          <w:rFonts w:ascii="ProbaPro" w:eastAsia="Times New Roman" w:hAnsi="ProbaPro" w:cs="Times New Roman"/>
          <w:color w:val="1D1D1B"/>
          <w:sz w:val="28"/>
          <w:szCs w:val="28"/>
          <w:bdr w:val="none" w:sz="0" w:space="0" w:color="auto" w:frame="1"/>
          <w:lang w:eastAsia="ru-RU"/>
        </w:rPr>
        <w:br/>
      </w:r>
    </w:p>
    <w:p w:rsidR="004C16AC" w:rsidRPr="004C16AC" w:rsidRDefault="008A0F26" w:rsidP="004C16AC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4C16AC">
        <w:rPr>
          <w:rFonts w:ascii="Times New Roman" w:hAnsi="Times New Roman" w:cs="Times New Roman"/>
          <w:sz w:val="32"/>
          <w:szCs w:val="32"/>
        </w:rPr>
        <w:t>КОМПЛЕКСНА</w:t>
      </w:r>
      <w:proofErr w:type="gramEnd"/>
      <w:r w:rsidRPr="004C16AC">
        <w:rPr>
          <w:rFonts w:ascii="Times New Roman" w:hAnsi="Times New Roman" w:cs="Times New Roman"/>
          <w:sz w:val="32"/>
          <w:szCs w:val="32"/>
        </w:rPr>
        <w:t xml:space="preserve"> ПРОГРАМА</w:t>
      </w:r>
      <w:r w:rsidRPr="004C16AC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="00FA2DC7" w:rsidRPr="004C16AC">
        <w:rPr>
          <w:rFonts w:ascii="Times New Roman" w:hAnsi="Times New Roman" w:cs="Times New Roman"/>
          <w:sz w:val="32"/>
          <w:szCs w:val="32"/>
        </w:rPr>
        <w:t>розвитку</w:t>
      </w:r>
      <w:proofErr w:type="spellEnd"/>
      <w:r w:rsidR="00FA2DC7" w:rsidRPr="004C16AC">
        <w:rPr>
          <w:rFonts w:ascii="Times New Roman" w:hAnsi="Times New Roman" w:cs="Times New Roman"/>
          <w:sz w:val="32"/>
          <w:szCs w:val="32"/>
        </w:rPr>
        <w:t xml:space="preserve"> футболу</w:t>
      </w:r>
      <w:r w:rsidR="001D5541" w:rsidRPr="004C16AC">
        <w:rPr>
          <w:rFonts w:ascii="Times New Roman" w:hAnsi="Times New Roman" w:cs="Times New Roman"/>
          <w:sz w:val="32"/>
          <w:szCs w:val="32"/>
        </w:rPr>
        <w:t xml:space="preserve"> в Новоархангельськ</w:t>
      </w:r>
      <w:r w:rsidR="004C16AC" w:rsidRPr="004C16AC">
        <w:rPr>
          <w:rFonts w:ascii="Times New Roman" w:hAnsi="Times New Roman" w:cs="Times New Roman"/>
          <w:sz w:val="32"/>
          <w:szCs w:val="32"/>
        </w:rPr>
        <w:t xml:space="preserve">ій </w:t>
      </w:r>
      <w:proofErr w:type="spellStart"/>
      <w:r w:rsidR="004C16AC" w:rsidRPr="004C16AC">
        <w:rPr>
          <w:rFonts w:ascii="Times New Roman" w:hAnsi="Times New Roman" w:cs="Times New Roman"/>
          <w:sz w:val="32"/>
          <w:szCs w:val="32"/>
        </w:rPr>
        <w:t>селищній</w:t>
      </w:r>
      <w:proofErr w:type="spellEnd"/>
      <w:r w:rsidR="004C16AC" w:rsidRPr="004C16A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C16AC" w:rsidRPr="004C16AC">
        <w:rPr>
          <w:rFonts w:ascii="Times New Roman" w:hAnsi="Times New Roman" w:cs="Times New Roman"/>
          <w:sz w:val="32"/>
          <w:szCs w:val="32"/>
        </w:rPr>
        <w:t>раді</w:t>
      </w:r>
      <w:proofErr w:type="spellEnd"/>
    </w:p>
    <w:p w:rsidR="008A0F26" w:rsidRPr="008841FB" w:rsidRDefault="00FA2DC7" w:rsidP="004C16AC">
      <w:pPr>
        <w:pStyle w:val="a7"/>
        <w:jc w:val="center"/>
        <w:rPr>
          <w:b/>
          <w:bCs/>
          <w:lang w:eastAsia="ru-RU"/>
        </w:rPr>
      </w:pPr>
      <w:r w:rsidRPr="004C16AC">
        <w:rPr>
          <w:rFonts w:ascii="Times New Roman" w:hAnsi="Times New Roman" w:cs="Times New Roman"/>
          <w:sz w:val="32"/>
          <w:szCs w:val="32"/>
        </w:rPr>
        <w:t>на 2021</w:t>
      </w:r>
      <w:r w:rsidR="008841FB" w:rsidRPr="004C16AC">
        <w:rPr>
          <w:rFonts w:ascii="Times New Roman" w:hAnsi="Times New Roman" w:cs="Times New Roman"/>
          <w:sz w:val="32"/>
          <w:szCs w:val="32"/>
        </w:rPr>
        <w:t>-2025 роки</w:t>
      </w:r>
      <w:r w:rsidR="008A0F26" w:rsidRPr="004C16AC">
        <w:rPr>
          <w:rFonts w:ascii="Times New Roman" w:hAnsi="Times New Roman" w:cs="Times New Roman"/>
          <w:sz w:val="32"/>
          <w:szCs w:val="32"/>
        </w:rPr>
        <w:br/>
      </w: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841FB" w:rsidRDefault="008841FB" w:rsidP="008A0F26">
      <w:pPr>
        <w:spacing w:before="240" w:after="240" w:line="405" w:lineRule="atLeast"/>
        <w:jc w:val="center"/>
        <w:textAlignment w:val="baseline"/>
        <w:rPr>
          <w:rFonts w:ascii="Verdana" w:eastAsia="Times New Roman" w:hAnsi="Verdana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 xml:space="preserve">I. Стан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невід’ємною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частиною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фізичного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виховання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спорту,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важливим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фактором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зміцнення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здоров’я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популярним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видовищем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За роки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незалежності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багато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зроблено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управління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розвитком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Закінчено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роботу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обласних</w:t>
      </w:r>
      <w:proofErr w:type="spell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ра</w:t>
      </w:r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йонних</w:t>
      </w:r>
      <w:proofErr w:type="spell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як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юридичних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осіб</w:t>
      </w:r>
      <w:proofErr w:type="spellEnd"/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Держкомспортом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делеговано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(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далі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)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окремі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повноваження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Статутні та регламентні документи Федерації приведено у відповідність із законодавством, статутними і регламентними нормами Міжнародної федерації футбольних асоціацій (ФІФА) та Союзу європейських футбольних асоціацій (УЄФА).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Федерація успішно проводить роботу з організації всеукраїнських змагань, розвитку професіонального, дитячо-юнацького, студентського, аматорського, пляжного футболу,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та футболу інвалідів.</w:t>
      </w:r>
    </w:p>
    <w:p w:rsidR="008A0F26" w:rsidRPr="008841FB" w:rsidRDefault="008A0F26" w:rsidP="008841F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Активно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запроваджуються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Відроджено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всеукраїнські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proofErr w:type="gramEnd"/>
      <w:r w:rsidR="00FA2DC7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”. </w:t>
      </w:r>
    </w:p>
    <w:p w:rsidR="008A0F26" w:rsidRPr="008841FB" w:rsidRDefault="008A0F26" w:rsidP="008841F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Удосконалюється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науково-методичне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</w:t>
      </w:r>
      <w:r w:rsidRPr="008841F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 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Видано 14 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пос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ібників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тренерів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вчителів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</w:t>
      </w:r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оосвітніх</w:t>
      </w:r>
      <w:proofErr w:type="spellEnd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закладів</w:t>
      </w:r>
      <w:proofErr w:type="spellEnd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Сучасний</w:t>
      </w:r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стан розвитку футболу в </w:t>
      </w:r>
      <w:proofErr w:type="spellStart"/>
      <w:r w:rsidR="00154E8B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Новоархангельську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свідчить про збереження та подальше зміцнення організаційних і матеріально-технічних засад, прогресивні тенденції у дитячо-юнацькому футболі.</w:t>
      </w:r>
    </w:p>
    <w:p w:rsid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Не задовольняє потреб дитячо-юнацьких спортивних шкіл державне фінансування, зокрема обсяги коштів, що виділяються на утримання та реконструкцію спортивних споруд, придбання екіпірування та інвентарю.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Залишається низькою заробітна плата тренерів.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Через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низький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івень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науково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-методичного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немає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системності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Не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врегульовані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переходу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молодих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футболістів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однієї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команди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іншу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не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здійснюється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належний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контроль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сфері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154E8B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едостатньо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приділяють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увагу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утриманню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реконструкції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будівництву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футбол,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проведенню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закладів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на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першість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областей,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районів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міст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”.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Недооцінюється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виховне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оздоровче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значення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аматорського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 Не на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належному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івні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проводиться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зазначена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робота в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трудових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колективах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>Недостатньо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ефективна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система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перепідготовки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підвищення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кваліфікації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тренерів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інших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фахівців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футболу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відповідають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сучасним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вимогам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навчально-тренувального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процесу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клубах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школах.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Зменшується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кількість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висококваліфікованих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фахівців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через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низький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івень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заробітної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плати.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Зазначені недоліки не дають змоги повною мірою використовувати можливості футболу як видовища і засобу зміцнення здоров’я населення, що зумовлює необхідність пошуку нових підходів до визначення шляхів його подальшого розвитку.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це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спрямована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Комплексна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рограма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на 20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21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20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25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роки (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далі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),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передбачено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шляхи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об’єднання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зусиль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влади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ідприємств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установ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сприятливих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II.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Основна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мета,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напрями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цілі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Основною 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пропагування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здорового способу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прогресивних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дасть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змогу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ідвищити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його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роль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фізичному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духовному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громадян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зміцнити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авторитет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світовому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співтоваристві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передбачає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напрями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футболу: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Дитячо-юнацький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</w:t>
      </w:r>
    </w:p>
    <w:p w:rsidR="008A0F26" w:rsidRPr="008841FB" w:rsidRDefault="008A0F26" w:rsidP="008841FB">
      <w:pPr>
        <w:spacing w:before="100" w:beforeAutospacing="1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Дитячо-юнацький футбол ставить за мету забезпечення підготовки резервів шляхом створення умов для реалізації творчого потенціалу дітей та молоді, спрямованих на їх духовне та фізичне становлення і самовдосконалення. Для досягнення цієї мети передбачається розв’язати такі завдання:</w:t>
      </w:r>
    </w:p>
    <w:p w:rsidR="008A0F26" w:rsidRPr="004C16AC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4C16A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розроблення і перегляд навчальних програм для дитячо-юнацьких спортивних шкіл з урахуванням вікових категорій учнів;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здійснення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заходів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спрямованих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подальше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впровадження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уроків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кола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”,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Хто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майбутній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олімпієць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”,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Золотий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колосок”,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футбольної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ліги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продовження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шкіл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груп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Новоархангельську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Аматорський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</w:t>
      </w:r>
    </w:p>
    <w:p w:rsidR="008A0F26" w:rsidRPr="008841FB" w:rsidRDefault="008A0F26" w:rsidP="008841FB">
      <w:pPr>
        <w:spacing w:before="24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Аматорський футбол передбачає зайняття фізичною культурою і спортом з метою гармонійного розвитку особистості, удосконалення фізкультурно-оздоровчої роботи у навчально-виховній, виробничій та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соціально-побутовій сферах на основі створення сприятливих умов для задоволення потреб широких верств населення у збереженні та зміцненні здоров’я, підвищенні працездатності та в активному відпочинку, а також створення міцної основи для підготовки футболістів вищої спортивної кваліфікації.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є: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мережі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структури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ня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всеукраїнських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обласних та районних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аматорських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чоловічих</w:t>
      </w:r>
      <w:proofErr w:type="spellEnd"/>
      <w:r w:rsidR="0051545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команд;</w:t>
      </w:r>
    </w:p>
    <w:p w:rsidR="008A0F26" w:rsidRPr="008841FB" w:rsidRDefault="008A0F26" w:rsidP="008841FB">
      <w:pPr>
        <w:spacing w:before="8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8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рівня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першого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другого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етапів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призи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клубу “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Шкіряний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м’яч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”.</w:t>
      </w:r>
    </w:p>
    <w:p w:rsidR="008A0F26" w:rsidRPr="008841FB" w:rsidRDefault="008A0F26" w:rsidP="008841FB">
      <w:pPr>
        <w:spacing w:before="36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Футзал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формування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здорового способу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 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ідвищення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рівня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високих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тивних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результатів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змаганнях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Досягнення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цієї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мети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забезпечить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фінансового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іально-технічного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мережі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ідвищення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конкурентоспроможності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лення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команд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удосконалення програм підготовки, перепідготовки і підвищення кваліфікації тренерів та інших фахівців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футзалу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через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ветерані</w:t>
      </w:r>
      <w:proofErr w:type="gram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ветеранів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є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як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здорового способу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  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задоволення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потреб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громадян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середнього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старшого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заняттях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фізичною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культурою та спортом.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необхідно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A202F3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фінансового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ветерані</w:t>
      </w:r>
      <w:proofErr w:type="gramStart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="008A0F26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налагодження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співпраці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Федерації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ветерані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в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</w:t>
      </w:r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Розвиток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ітніх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 у 20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21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20</w:t>
      </w:r>
      <w:r w:rsidR="00A202F3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25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роках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сприятиме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зростанню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 xml:space="preserve">початкового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розв’язанню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соц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проблем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суспільства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пов’язаних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вихованням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оздоровленням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дітей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також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поповненню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дитячо-юнацьких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спортивних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шкіл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талановитими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дітьми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необхідно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забезпечити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реалізацію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системи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вчителів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викладання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загальноосвітніх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навчальних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закладах;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удосконалення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науково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-методичного та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іального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8A0F26" w:rsidRPr="008841FB" w:rsidRDefault="008A0F26" w:rsidP="008841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популяризацію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уроку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фізкультури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елементами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за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допомогою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засобів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інформації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Футбол </w:t>
      </w:r>
      <w:proofErr w:type="gram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</w:p>
    <w:p w:rsidR="008A0F26" w:rsidRPr="008841FB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Розвиток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в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передбачає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залучення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широких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верств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населення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занять футболом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ідготовки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резерву для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аматорського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професіонального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футболу.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цією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метою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потрібно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розв’язати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реформування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організаційних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основ футболу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розширення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кола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учасників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змагань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серед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команд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;</w:t>
      </w:r>
    </w:p>
    <w:p w:rsidR="008A0F26" w:rsidRPr="008841FB" w:rsidRDefault="008A0F26" w:rsidP="008841F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вирішення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фінансового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матеріально-технічного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футболу </w:t>
      </w:r>
      <w:proofErr w:type="gram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сільській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місцевості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A0F26" w:rsidRPr="008841FB" w:rsidRDefault="008A0F26" w:rsidP="008841FB">
      <w:pPr>
        <w:spacing w:before="36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III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Фінансування</w:t>
      </w:r>
      <w:proofErr w:type="spellEnd"/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</w:p>
    <w:p w:rsidR="008A0F26" w:rsidRDefault="008A0F26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Фінансування Програми здійснюється за рахунок коштів, що передбачаються у відповідних бюджетах на розвиток фізичної культури і спорту, освіти, а також позабюджетних коштів та інших джерел.</w:t>
      </w:r>
    </w:p>
    <w:p w:rsidR="008841FB" w:rsidRDefault="008841FB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1206"/>
        <w:gridCol w:w="1130"/>
        <w:gridCol w:w="1130"/>
        <w:gridCol w:w="1130"/>
      </w:tblGrid>
      <w:tr w:rsidR="008841FB" w:rsidTr="008841FB">
        <w:trPr>
          <w:jc w:val="center"/>
        </w:trPr>
        <w:tc>
          <w:tcPr>
            <w:tcW w:w="1130" w:type="dxa"/>
          </w:tcPr>
          <w:p w:rsidR="008841FB" w:rsidRP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2021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 xml:space="preserve"> </w:t>
            </w:r>
          </w:p>
        </w:tc>
        <w:tc>
          <w:tcPr>
            <w:tcW w:w="1206" w:type="dxa"/>
          </w:tcPr>
          <w:p w:rsid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2022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  <w:tc>
          <w:tcPr>
            <w:tcW w:w="1130" w:type="dxa"/>
          </w:tcPr>
          <w:p w:rsid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2023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  <w:tc>
          <w:tcPr>
            <w:tcW w:w="1130" w:type="dxa"/>
          </w:tcPr>
          <w:p w:rsidR="008841FB" w:rsidRDefault="008841FB" w:rsidP="00B33E1A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2024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  <w:tc>
          <w:tcPr>
            <w:tcW w:w="1130" w:type="dxa"/>
          </w:tcPr>
          <w:p w:rsidR="008841FB" w:rsidRDefault="008841FB" w:rsidP="008841FB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 xml:space="preserve">Грн. на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2025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</w:rPr>
              <w:t>рік</w:t>
            </w:r>
          </w:p>
        </w:tc>
      </w:tr>
      <w:tr w:rsidR="008841FB" w:rsidTr="008841FB">
        <w:trPr>
          <w:jc w:val="center"/>
        </w:trPr>
        <w:tc>
          <w:tcPr>
            <w:tcW w:w="1130" w:type="dxa"/>
          </w:tcPr>
          <w:p w:rsidR="008841FB" w:rsidRDefault="008841FB" w:rsidP="003735AD">
            <w:pPr>
              <w:jc w:val="both"/>
              <w:rPr>
                <w:rFonts w:ascii="Times New Roman" w:eastAsia="SimSun" w:hAnsi="Times New Roman"/>
                <w:noProof/>
                <w:sz w:val="28"/>
                <w:szCs w:val="24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 xml:space="preserve">304 </w:t>
            </w:r>
            <w:r w:rsidR="003735AD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073</w:t>
            </w:r>
          </w:p>
        </w:tc>
        <w:tc>
          <w:tcPr>
            <w:tcW w:w="1206" w:type="dxa"/>
          </w:tcPr>
          <w:p w:rsidR="008841FB" w:rsidRPr="008841FB" w:rsidRDefault="008841FB" w:rsidP="00380682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335200</w:t>
            </w:r>
          </w:p>
        </w:tc>
        <w:tc>
          <w:tcPr>
            <w:tcW w:w="1130" w:type="dxa"/>
          </w:tcPr>
          <w:p w:rsidR="008841FB" w:rsidRPr="008841FB" w:rsidRDefault="008841FB" w:rsidP="003735AD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3687</w:t>
            </w:r>
            <w:r w:rsidR="003735AD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0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0</w:t>
            </w:r>
          </w:p>
        </w:tc>
        <w:tc>
          <w:tcPr>
            <w:tcW w:w="1130" w:type="dxa"/>
          </w:tcPr>
          <w:p w:rsidR="008841FB" w:rsidRPr="008841FB" w:rsidRDefault="008841FB" w:rsidP="00380682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405600</w:t>
            </w:r>
          </w:p>
        </w:tc>
        <w:tc>
          <w:tcPr>
            <w:tcW w:w="1130" w:type="dxa"/>
          </w:tcPr>
          <w:p w:rsidR="008841FB" w:rsidRPr="008841FB" w:rsidRDefault="008841FB" w:rsidP="00380682">
            <w:pPr>
              <w:jc w:val="center"/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446200</w:t>
            </w:r>
          </w:p>
        </w:tc>
      </w:tr>
    </w:tbl>
    <w:p w:rsidR="008841FB" w:rsidRDefault="008841FB" w:rsidP="008841FB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</w:p>
    <w:p w:rsidR="008841FB" w:rsidRDefault="008841FB" w:rsidP="008841FB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  <w:r w:rsidRPr="00C201BE">
        <w:rPr>
          <w:rFonts w:ascii="Times New Roman" w:eastAsia="SimSun" w:hAnsi="Times New Roman"/>
          <w:b/>
          <w:noProof/>
          <w:sz w:val="28"/>
          <w:szCs w:val="24"/>
          <w:lang w:eastAsia="ru-RU"/>
        </w:rPr>
        <w:t>План заходів на 2021 рік</w:t>
      </w:r>
    </w:p>
    <w:p w:rsidR="008841FB" w:rsidRPr="008841FB" w:rsidRDefault="008841FB" w:rsidP="008841FB">
      <w:pPr>
        <w:spacing w:after="0" w:line="240" w:lineRule="auto"/>
        <w:jc w:val="center"/>
        <w:outlineLvl w:val="0"/>
        <w:rPr>
          <w:rFonts w:ascii="Times New Roman" w:eastAsia="SimSun" w:hAnsi="Times New Roman"/>
          <w:b/>
          <w:noProof/>
          <w:sz w:val="28"/>
          <w:szCs w:val="24"/>
          <w:lang w:val="uk-UA" w:eastAsia="ru-RU"/>
        </w:rPr>
      </w:pPr>
    </w:p>
    <w:p w:rsidR="008841FB" w:rsidRPr="008841FB" w:rsidRDefault="008841FB" w:rsidP="008841F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41FB">
        <w:rPr>
          <w:rFonts w:ascii="Times New Roman" w:hAnsi="Times New Roman"/>
          <w:b/>
          <w:sz w:val="28"/>
          <w:szCs w:val="28"/>
          <w:lang w:val="uk-UA"/>
        </w:rPr>
        <w:t xml:space="preserve">Обласний турнір  з футболу «Діти» 2 вікові групи 36 чоловік  17 турів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176,64грн. – 36 чол.*17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>=108103,68 грн.</w:t>
      </w:r>
    </w:p>
    <w:p w:rsidR="008841FB" w:rsidRPr="00C201BE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88605C">
        <w:rPr>
          <w:rFonts w:ascii="Times New Roman" w:hAnsi="Times New Roman"/>
          <w:b/>
          <w:sz w:val="28"/>
          <w:szCs w:val="28"/>
        </w:rPr>
        <w:t>блас</w:t>
      </w:r>
      <w:r>
        <w:rPr>
          <w:rFonts w:ascii="Times New Roman" w:hAnsi="Times New Roman"/>
          <w:b/>
          <w:sz w:val="28"/>
          <w:szCs w:val="28"/>
        </w:rPr>
        <w:t>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 футболу </w:t>
      </w:r>
      <w:r w:rsidRPr="00C201BE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Шкіряний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м’яч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» 3 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вікові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201BE">
        <w:rPr>
          <w:rFonts w:ascii="Times New Roman" w:hAnsi="Times New Roman"/>
          <w:b/>
          <w:sz w:val="28"/>
          <w:szCs w:val="28"/>
        </w:rPr>
        <w:t>групи</w:t>
      </w:r>
      <w:proofErr w:type="spellEnd"/>
      <w:r w:rsidRPr="00C201BE">
        <w:rPr>
          <w:rFonts w:ascii="Times New Roman" w:hAnsi="Times New Roman"/>
          <w:b/>
          <w:sz w:val="28"/>
          <w:szCs w:val="28"/>
        </w:rPr>
        <w:t xml:space="preserve">  </w:t>
      </w:r>
      <w:r w:rsidRPr="0088605C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Діти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» </w:t>
      </w:r>
      <w:r w:rsidRPr="00C201BE">
        <w:rPr>
          <w:rFonts w:ascii="Times New Roman" w:hAnsi="Times New Roman"/>
          <w:b/>
          <w:sz w:val="28"/>
          <w:szCs w:val="28"/>
        </w:rPr>
        <w:t xml:space="preserve">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 176,64грн. – 15 чол.*3 з</w:t>
      </w:r>
      <w:r>
        <w:rPr>
          <w:rFonts w:ascii="Times New Roman" w:hAnsi="Times New Roman"/>
          <w:sz w:val="28"/>
          <w:szCs w:val="28"/>
        </w:rPr>
        <w:t>а</w:t>
      </w:r>
      <w:r w:rsidRPr="0088605C">
        <w:rPr>
          <w:rFonts w:ascii="Times New Roman" w:hAnsi="Times New Roman"/>
          <w:sz w:val="28"/>
          <w:szCs w:val="28"/>
        </w:rPr>
        <w:t>ходи =7948,80 грн.</w:t>
      </w:r>
    </w:p>
    <w:p w:rsidR="008841FB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В</w:t>
      </w:r>
      <w:r w:rsidRPr="0088605C">
        <w:rPr>
          <w:rFonts w:ascii="Times New Roman" w:hAnsi="Times New Roman"/>
          <w:b/>
          <w:sz w:val="28"/>
          <w:szCs w:val="28"/>
        </w:rPr>
        <w:t>сеукраїнськ</w:t>
      </w:r>
      <w:r>
        <w:rPr>
          <w:rFonts w:ascii="Times New Roman" w:hAnsi="Times New Roman"/>
          <w:b/>
          <w:sz w:val="28"/>
          <w:szCs w:val="28"/>
        </w:rPr>
        <w:t>ий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88605C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Золотий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колосок»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сільських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команд 2 заходи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247,29 грн. *18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*2 заходи *5 </w:t>
      </w:r>
      <w:proofErr w:type="spellStart"/>
      <w:r w:rsidRPr="0088605C">
        <w:rPr>
          <w:rFonts w:ascii="Times New Roman" w:hAnsi="Times New Roman"/>
          <w:sz w:val="28"/>
          <w:szCs w:val="28"/>
        </w:rPr>
        <w:t>днів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=44512,20 грн. (м. </w:t>
      </w:r>
      <w:proofErr w:type="spellStart"/>
      <w:r w:rsidRPr="0088605C">
        <w:rPr>
          <w:rFonts w:ascii="Times New Roman" w:hAnsi="Times New Roman"/>
          <w:sz w:val="28"/>
          <w:szCs w:val="28"/>
        </w:rPr>
        <w:t>Скадовськ</w:t>
      </w:r>
      <w:proofErr w:type="spellEnd"/>
      <w:r w:rsidRPr="0088605C">
        <w:rPr>
          <w:rFonts w:ascii="Times New Roman" w:hAnsi="Times New Roman"/>
          <w:sz w:val="28"/>
          <w:szCs w:val="28"/>
        </w:rPr>
        <w:t>)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18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*2 заходи *4 </w:t>
      </w:r>
      <w:proofErr w:type="spellStart"/>
      <w:r w:rsidRPr="0088605C">
        <w:rPr>
          <w:rFonts w:ascii="Times New Roman" w:hAnsi="Times New Roman"/>
          <w:sz w:val="28"/>
          <w:szCs w:val="28"/>
        </w:rPr>
        <w:t>ночі</w:t>
      </w:r>
      <w:proofErr w:type="spellEnd"/>
      <w:r w:rsidRPr="0088605C">
        <w:rPr>
          <w:rFonts w:ascii="Times New Roman" w:hAnsi="Times New Roman"/>
          <w:sz w:val="28"/>
          <w:szCs w:val="28"/>
        </w:rPr>
        <w:t>*200 грн. =28800 грн.</w:t>
      </w:r>
    </w:p>
    <w:p w:rsidR="008841FB" w:rsidRPr="0088605C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</w:t>
      </w:r>
      <w:r w:rsidRPr="0088605C">
        <w:rPr>
          <w:rFonts w:ascii="Times New Roman" w:hAnsi="Times New Roman"/>
          <w:b/>
          <w:sz w:val="28"/>
          <w:szCs w:val="28"/>
        </w:rPr>
        <w:t>сеукраїнськи</w:t>
      </w:r>
      <w:r>
        <w:rPr>
          <w:rFonts w:ascii="Times New Roman" w:hAnsi="Times New Roman"/>
          <w:b/>
          <w:sz w:val="28"/>
          <w:szCs w:val="28"/>
        </w:rPr>
        <w:t>й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ветеранів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«</w:t>
      </w:r>
      <w:r w:rsidRPr="0088605C">
        <w:rPr>
          <w:rFonts w:ascii="Times New Roman" w:hAnsi="Times New Roman"/>
          <w:b/>
          <w:sz w:val="28"/>
          <w:szCs w:val="28"/>
        </w:rPr>
        <w:t>40+</w:t>
      </w:r>
      <w:r>
        <w:rPr>
          <w:rFonts w:ascii="Times New Roman" w:hAnsi="Times New Roman"/>
          <w:b/>
          <w:sz w:val="28"/>
          <w:szCs w:val="28"/>
        </w:rPr>
        <w:t>»</w:t>
      </w:r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</w:t>
      </w:r>
      <w:r w:rsidRPr="0088605C">
        <w:rPr>
          <w:rFonts w:ascii="Times New Roman" w:hAnsi="Times New Roman"/>
          <w:b/>
          <w:sz w:val="28"/>
          <w:szCs w:val="28"/>
        </w:rPr>
        <w:t>м. Берегове</w:t>
      </w:r>
      <w:r>
        <w:rPr>
          <w:rFonts w:ascii="Times New Roman" w:hAnsi="Times New Roman"/>
          <w:b/>
          <w:sz w:val="28"/>
          <w:szCs w:val="28"/>
        </w:rPr>
        <w:t>).</w:t>
      </w:r>
      <w:r w:rsidRPr="0088605C">
        <w:rPr>
          <w:rFonts w:ascii="Times New Roman" w:hAnsi="Times New Roman"/>
          <w:b/>
          <w:sz w:val="28"/>
          <w:szCs w:val="28"/>
        </w:rPr>
        <w:t xml:space="preserve">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247,29 грн. *12чол. *1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захід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*5 </w:t>
      </w:r>
      <w:proofErr w:type="spellStart"/>
      <w:r w:rsidRPr="0088605C">
        <w:rPr>
          <w:rFonts w:ascii="Times New Roman" w:hAnsi="Times New Roman"/>
          <w:sz w:val="28"/>
          <w:szCs w:val="28"/>
        </w:rPr>
        <w:t>днів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=14837,40 грн.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12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*1захід *4 </w:t>
      </w:r>
      <w:proofErr w:type="spellStart"/>
      <w:r w:rsidRPr="0088605C">
        <w:rPr>
          <w:rFonts w:ascii="Times New Roman" w:hAnsi="Times New Roman"/>
          <w:sz w:val="28"/>
          <w:szCs w:val="28"/>
        </w:rPr>
        <w:t>ночі</w:t>
      </w:r>
      <w:proofErr w:type="spellEnd"/>
      <w:r w:rsidRPr="0088605C">
        <w:rPr>
          <w:rFonts w:ascii="Times New Roman" w:hAnsi="Times New Roman"/>
          <w:sz w:val="28"/>
          <w:szCs w:val="28"/>
        </w:rPr>
        <w:t>*250 грн. =12000 грн.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проїзд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12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>. *2*840 грн.=20160 грн.</w:t>
      </w:r>
    </w:p>
    <w:p w:rsidR="008841FB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</w:p>
    <w:p w:rsidR="008841FB" w:rsidRPr="0088605C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88605C">
        <w:rPr>
          <w:rFonts w:ascii="Times New Roman" w:hAnsi="Times New Roman"/>
          <w:b/>
          <w:sz w:val="28"/>
          <w:szCs w:val="28"/>
        </w:rPr>
        <w:t>блас</w:t>
      </w:r>
      <w:r>
        <w:rPr>
          <w:rFonts w:ascii="Times New Roman" w:hAnsi="Times New Roman"/>
          <w:b/>
          <w:sz w:val="28"/>
          <w:szCs w:val="28"/>
        </w:rPr>
        <w:t>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 футболу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ветеранів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</w:p>
    <w:p w:rsidR="008841FB" w:rsidRPr="0088605C" w:rsidRDefault="008841FB" w:rsidP="008841FB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 176,64грн. – 18 чол.*2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605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 w:rsidRPr="0088605C">
        <w:rPr>
          <w:rFonts w:ascii="Times New Roman" w:hAnsi="Times New Roman"/>
          <w:sz w:val="28"/>
          <w:szCs w:val="28"/>
        </w:rPr>
        <w:t>ходи =6359 грн.</w:t>
      </w:r>
    </w:p>
    <w:p w:rsidR="008841FB" w:rsidRPr="0088605C" w:rsidRDefault="008841FB" w:rsidP="008841FB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88605C">
        <w:rPr>
          <w:rFonts w:ascii="Times New Roman" w:hAnsi="Times New Roman"/>
          <w:b/>
          <w:sz w:val="28"/>
          <w:szCs w:val="28"/>
        </w:rPr>
        <w:t>блас</w:t>
      </w:r>
      <w:r>
        <w:rPr>
          <w:rFonts w:ascii="Times New Roman" w:hAnsi="Times New Roman"/>
          <w:b/>
          <w:sz w:val="28"/>
          <w:szCs w:val="28"/>
        </w:rPr>
        <w:t>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турні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з футболу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серед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b/>
          <w:sz w:val="28"/>
          <w:szCs w:val="28"/>
        </w:rPr>
        <w:t>аматорських</w:t>
      </w:r>
      <w:proofErr w:type="spellEnd"/>
      <w:r w:rsidRPr="0088605C">
        <w:rPr>
          <w:rFonts w:ascii="Times New Roman" w:hAnsi="Times New Roman"/>
          <w:b/>
          <w:sz w:val="28"/>
          <w:szCs w:val="28"/>
        </w:rPr>
        <w:t xml:space="preserve"> команд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учасників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спортивних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заходів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–  176,64грн. – 18 чол.* 16 </w:t>
      </w:r>
      <w:proofErr w:type="spellStart"/>
      <w:r w:rsidRPr="0088605C">
        <w:rPr>
          <w:rFonts w:ascii="Times New Roman" w:hAnsi="Times New Roman"/>
          <w:sz w:val="28"/>
          <w:szCs w:val="28"/>
        </w:rPr>
        <w:t>турів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 =50872,32  грн.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Витрати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матчів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8605C">
        <w:rPr>
          <w:rFonts w:ascii="Times New Roman" w:hAnsi="Times New Roman"/>
          <w:sz w:val="28"/>
          <w:szCs w:val="28"/>
        </w:rPr>
        <w:t>суддівство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) 8 </w:t>
      </w:r>
      <w:proofErr w:type="spellStart"/>
      <w:r w:rsidRPr="0088605C">
        <w:rPr>
          <w:rFonts w:ascii="Times New Roman" w:hAnsi="Times New Roman"/>
          <w:sz w:val="28"/>
          <w:szCs w:val="28"/>
        </w:rPr>
        <w:t>турні</w:t>
      </w:r>
      <w:proofErr w:type="gramStart"/>
      <w:r w:rsidRPr="0088605C">
        <w:rPr>
          <w:rFonts w:ascii="Times New Roman" w:hAnsi="Times New Roman"/>
          <w:sz w:val="28"/>
          <w:szCs w:val="28"/>
        </w:rPr>
        <w:t>р</w:t>
      </w:r>
      <w:proofErr w:type="gramEnd"/>
      <w:r w:rsidRPr="0088605C">
        <w:rPr>
          <w:rFonts w:ascii="Times New Roman" w:hAnsi="Times New Roman"/>
          <w:sz w:val="28"/>
          <w:szCs w:val="28"/>
        </w:rPr>
        <w:t>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Проїзд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суддів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3 </w:t>
      </w:r>
      <w:proofErr w:type="spellStart"/>
      <w:r w:rsidRPr="0088605C">
        <w:rPr>
          <w:rFonts w:ascii="Times New Roman" w:hAnsi="Times New Roman"/>
          <w:sz w:val="28"/>
          <w:szCs w:val="28"/>
        </w:rPr>
        <w:t>чол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88605C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88605C">
        <w:rPr>
          <w:rFonts w:ascii="Times New Roman" w:hAnsi="Times New Roman"/>
          <w:sz w:val="28"/>
          <w:szCs w:val="28"/>
        </w:rPr>
        <w:t>Кропивницький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48 </w:t>
      </w:r>
      <w:proofErr w:type="spellStart"/>
      <w:r w:rsidRPr="0088605C">
        <w:rPr>
          <w:rFonts w:ascii="Times New Roman" w:hAnsi="Times New Roman"/>
          <w:sz w:val="28"/>
          <w:szCs w:val="28"/>
        </w:rPr>
        <w:t>квитків</w:t>
      </w:r>
      <w:proofErr w:type="spellEnd"/>
      <w:r w:rsidRPr="0088605C">
        <w:rPr>
          <w:rFonts w:ascii="Times New Roman" w:hAnsi="Times New Roman"/>
          <w:sz w:val="28"/>
          <w:szCs w:val="28"/>
        </w:rPr>
        <w:t>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05C">
        <w:rPr>
          <w:rFonts w:ascii="Times New Roman" w:hAnsi="Times New Roman"/>
          <w:sz w:val="28"/>
          <w:szCs w:val="28"/>
        </w:rPr>
        <w:t>48 *130 грн. = 6240 грн.</w:t>
      </w:r>
    </w:p>
    <w:p w:rsidR="008841FB" w:rsidRPr="0088605C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05C">
        <w:rPr>
          <w:rFonts w:ascii="Times New Roman" w:hAnsi="Times New Roman"/>
          <w:sz w:val="28"/>
          <w:szCs w:val="28"/>
        </w:rPr>
        <w:t>Грошова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добова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норма </w:t>
      </w:r>
      <w:proofErr w:type="spellStart"/>
      <w:r w:rsidRPr="0088605C">
        <w:rPr>
          <w:rFonts w:ascii="Times New Roman" w:hAnsi="Times New Roman"/>
          <w:sz w:val="28"/>
          <w:szCs w:val="28"/>
        </w:rPr>
        <w:t>витрат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605C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05C">
        <w:rPr>
          <w:rFonts w:ascii="Times New Roman" w:hAnsi="Times New Roman"/>
          <w:sz w:val="28"/>
          <w:szCs w:val="28"/>
        </w:rPr>
        <w:t>харчуванням</w:t>
      </w:r>
      <w:proofErr w:type="spellEnd"/>
    </w:p>
    <w:p w:rsidR="008841FB" w:rsidRDefault="008841FB" w:rsidP="008841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05C">
        <w:rPr>
          <w:rFonts w:ascii="Times New Roman" w:hAnsi="Times New Roman"/>
          <w:sz w:val="28"/>
          <w:szCs w:val="28"/>
        </w:rPr>
        <w:t xml:space="preserve">–  176,64грн. – 3 чол.*8 </w:t>
      </w:r>
      <w:proofErr w:type="spellStart"/>
      <w:r w:rsidRPr="0088605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 w:rsidRPr="0088605C">
        <w:rPr>
          <w:rFonts w:ascii="Times New Roman" w:hAnsi="Times New Roman"/>
          <w:sz w:val="28"/>
          <w:szCs w:val="28"/>
        </w:rPr>
        <w:t>ходів</w:t>
      </w:r>
      <w:proofErr w:type="spellEnd"/>
      <w:r w:rsidRPr="0088605C">
        <w:rPr>
          <w:rFonts w:ascii="Times New Roman" w:hAnsi="Times New Roman"/>
          <w:sz w:val="28"/>
          <w:szCs w:val="28"/>
        </w:rPr>
        <w:t xml:space="preserve">  =4239,36 грн.</w:t>
      </w:r>
    </w:p>
    <w:p w:rsidR="008841FB" w:rsidRDefault="008841FB" w:rsidP="008841FB">
      <w:pPr>
        <w:pStyle w:val="a6"/>
        <w:spacing w:line="240" w:lineRule="auto"/>
        <w:rPr>
          <w:rFonts w:ascii="Nimbus Roman No9 L;Times New Ro" w:hAnsi="Nimbus Roman No9 L;Times New Ro" w:cs="Nimbus Roman No9 L;Times New Ro"/>
          <w:szCs w:val="28"/>
          <w:lang w:val="uk-UA" w:eastAsia="zh-CN"/>
        </w:rPr>
      </w:pPr>
      <w:r>
        <w:rPr>
          <w:rFonts w:ascii="Nimbus Roman No9 L;Times New Ro" w:hAnsi="Nimbus Roman No9 L;Times New Ro" w:cs="Nimbus Roman No9 L;Times New Ro"/>
          <w:szCs w:val="28"/>
          <w:lang w:val="uk-UA" w:eastAsia="zh-CN"/>
        </w:rPr>
        <w:t>Заявочний внесок: 10000грн.</w:t>
      </w:r>
    </w:p>
    <w:p w:rsidR="008841FB" w:rsidRPr="008841FB" w:rsidRDefault="008841FB" w:rsidP="008841FB">
      <w:pPr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8A0F26" w:rsidRPr="002F62F6" w:rsidRDefault="008A0F26" w:rsidP="008841FB">
      <w:pPr>
        <w:spacing w:before="6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</w:pP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val="en-US" w:eastAsia="ru-RU"/>
        </w:rPr>
        <w:t>I</w:t>
      </w:r>
      <w:r w:rsidRPr="008841FB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V</w:t>
      </w:r>
      <w:r w:rsidRPr="002F62F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val="uk-UA" w:eastAsia="ru-RU"/>
        </w:rPr>
        <w:t>. Управління виконанням Програми</w:t>
      </w:r>
    </w:p>
    <w:p w:rsidR="001D5541" w:rsidRPr="008841FB" w:rsidRDefault="008A0F26" w:rsidP="008841FB">
      <w:pPr>
        <w:spacing w:before="6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З метою забезпечення виконання Програми, її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 </w:t>
      </w:r>
      <w:r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ефективності утворюється орган управління, який складається з керівника Програми, робочої групи та координаційної ради, до складу яких входять представники міністерств та інших центральних і місцевих органів виконавчої влади, установ, Федерації та інших громадських організац</w:t>
      </w:r>
      <w:r w:rsidR="001D5541" w:rsidRPr="008841F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ій. </w:t>
      </w:r>
    </w:p>
    <w:sectPr w:rsidR="001D5541" w:rsidRPr="0088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ntiqu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;Times New 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1E"/>
    <w:rsid w:val="00154E8B"/>
    <w:rsid w:val="001D5541"/>
    <w:rsid w:val="002F62F6"/>
    <w:rsid w:val="003735AD"/>
    <w:rsid w:val="004C16AC"/>
    <w:rsid w:val="00515451"/>
    <w:rsid w:val="008841FB"/>
    <w:rsid w:val="008A0F26"/>
    <w:rsid w:val="009B6DD1"/>
    <w:rsid w:val="009C6002"/>
    <w:rsid w:val="00A202F3"/>
    <w:rsid w:val="00B1061E"/>
    <w:rsid w:val="00FA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F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841F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rsid w:val="008841F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7">
    <w:name w:val="No Spacing"/>
    <w:uiPriority w:val="1"/>
    <w:qFormat/>
    <w:rsid w:val="004C16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1F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841F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rsid w:val="008841F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7">
    <w:name w:val="No Spacing"/>
    <w:uiPriority w:val="1"/>
    <w:qFormat/>
    <w:rsid w:val="004C16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6587</Words>
  <Characters>3756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Boss</cp:lastModifiedBy>
  <cp:revision>8</cp:revision>
  <dcterms:created xsi:type="dcterms:W3CDTF">2021-01-12T16:37:00Z</dcterms:created>
  <dcterms:modified xsi:type="dcterms:W3CDTF">2021-04-07T07:10:00Z</dcterms:modified>
</cp:coreProperties>
</file>