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DD" w:rsidRPr="00AE2980" w:rsidRDefault="00196EDD" w:rsidP="003366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AE2980">
        <w:rPr>
          <w:rFonts w:ascii="Times New Roman" w:hAnsi="Times New Roman" w:cs="Times New Roman"/>
          <w:bCs/>
          <w:sz w:val="28"/>
          <w:szCs w:val="28"/>
          <w:lang w:val="uk-UA"/>
        </w:rPr>
        <w:t>Пояснювальна записка</w:t>
      </w:r>
    </w:p>
    <w:p w:rsidR="00196EDD" w:rsidRPr="00AE2980" w:rsidRDefault="00196EDD" w:rsidP="003366E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E2980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Новоархангельської </w:t>
      </w:r>
      <w:r w:rsidR="00777224" w:rsidRPr="00AE2980"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Pr="00AE2980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777224" w:rsidRPr="00AE2980" w:rsidRDefault="00196EDD" w:rsidP="003366E4">
      <w:pPr>
        <w:widowControl w:val="0"/>
        <w:tabs>
          <w:tab w:val="left" w:pos="9639"/>
        </w:tabs>
        <w:autoSpaceDE w:val="0"/>
        <w:autoSpaceDN w:val="0"/>
        <w:jc w:val="center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AE2980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EE77B5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</w:t>
      </w:r>
      <w:r w:rsidRPr="00AE2980">
        <w:rPr>
          <w:rFonts w:ascii="Times New Roman" w:hAnsi="Times New Roman" w:cs="Times New Roman"/>
          <w:sz w:val="28"/>
          <w:szCs w:val="28"/>
          <w:lang w:val="uk-UA"/>
        </w:rPr>
        <w:t>фінан</w:t>
      </w:r>
      <w:r w:rsidRPr="00AE298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сового плану</w:t>
      </w:r>
      <w:r w:rsidRPr="00AE29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7224" w:rsidRPr="00AE2980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</w:t>
      </w:r>
      <w:r w:rsidR="00777224" w:rsidRPr="00AE2980">
        <w:rPr>
          <w:rFonts w:ascii="Times New Roman" w:hAnsi="Times New Roman"/>
          <w:bCs/>
          <w:iCs/>
          <w:sz w:val="28"/>
          <w:szCs w:val="28"/>
          <w:lang w:val="uk-UA"/>
        </w:rPr>
        <w:t xml:space="preserve">«Новоархангельська багатопрофільна лікарня» </w:t>
      </w:r>
    </w:p>
    <w:p w:rsidR="00196EDD" w:rsidRPr="00AE2980" w:rsidRDefault="00777224" w:rsidP="003366E4">
      <w:pPr>
        <w:widowControl w:val="0"/>
        <w:tabs>
          <w:tab w:val="left" w:pos="9639"/>
        </w:tabs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E2980">
        <w:rPr>
          <w:rFonts w:ascii="Times New Roman" w:hAnsi="Times New Roman"/>
          <w:bCs/>
          <w:iCs/>
          <w:sz w:val="28"/>
          <w:szCs w:val="28"/>
          <w:lang w:val="uk-UA"/>
        </w:rPr>
        <w:t>Новоархангельської селищної ради</w:t>
      </w:r>
      <w:r w:rsidRPr="00AE2980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 w:rsidR="00196EDD" w:rsidRPr="00AE2980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 2021 рік»</w:t>
      </w:r>
    </w:p>
    <w:p w:rsidR="00196EDD" w:rsidRPr="00AE2980" w:rsidRDefault="00196EDD" w:rsidP="00196ED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</w:p>
    <w:p w:rsidR="00902DA3" w:rsidRPr="00902DA3" w:rsidRDefault="00777224" w:rsidP="00902DA3">
      <w:pPr>
        <w:shd w:val="clear" w:color="auto" w:fill="FFFFFF"/>
        <w:spacing w:line="240" w:lineRule="atLeast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/>
          <w:sz w:val="24"/>
          <w:szCs w:val="24"/>
          <w:lang w:val="uk-UA"/>
        </w:rPr>
        <w:t xml:space="preserve">Комунальне некомерційне підприємство </w:t>
      </w:r>
      <w:r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Новоархангельської селищної ради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02DA3" w:rsidRPr="00902DA3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надає </w:t>
      </w:r>
      <w:r w:rsidR="00902DA3" w:rsidRPr="00902DA3">
        <w:rPr>
          <w:rFonts w:ascii="Times New Roman" w:hAnsi="Times New Roman" w:cs="Times New Roman"/>
          <w:sz w:val="24"/>
          <w:szCs w:val="24"/>
          <w:lang w:val="uk-UA"/>
        </w:rPr>
        <w:t xml:space="preserve"> вторинну медичну допомогу жителям Новоархангельської селищної ради, Підвисоцької сільської ради, </w:t>
      </w:r>
      <w:proofErr w:type="spellStart"/>
      <w:r w:rsidR="00902DA3" w:rsidRPr="00902DA3">
        <w:rPr>
          <w:rFonts w:ascii="Times New Roman" w:hAnsi="Times New Roman" w:cs="Times New Roman"/>
          <w:sz w:val="24"/>
          <w:szCs w:val="24"/>
          <w:lang w:val="uk-UA"/>
        </w:rPr>
        <w:t>Надлацької</w:t>
      </w:r>
      <w:proofErr w:type="spellEnd"/>
      <w:r w:rsidR="00902DA3" w:rsidRPr="00902DA3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ради, тощо. </w:t>
      </w:r>
    </w:p>
    <w:p w:rsidR="00196EDD" w:rsidRPr="00AE2980" w:rsidRDefault="00196EDD" w:rsidP="00AE2980">
      <w:pPr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З першого квітня 2020 року лікарня перейшла на нову модель фінансування, підписавши договір на надання медичних послуг з НСЗУ. 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Виробнича потужність підприємства становить 300 відвідувань в зміну. При цьому розгорнуто і працює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118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цілодобових ліжок по</w:t>
      </w:r>
      <w:r w:rsidR="0077722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наданню стаціонарної медичної допомоги жителям району.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>Штатн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посад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 xml:space="preserve">и по </w:t>
      </w:r>
      <w:r w:rsidR="00777224" w:rsidRPr="00AE2980">
        <w:rPr>
          <w:rFonts w:ascii="Times New Roman" w:hAnsi="Times New Roman"/>
          <w:sz w:val="24"/>
          <w:szCs w:val="24"/>
          <w:lang w:val="uk-UA"/>
        </w:rPr>
        <w:t xml:space="preserve">комунального некомерційного підприємства </w:t>
      </w:r>
      <w:r w:rsidR="00777224"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Новоархангельської селищної ради</w:t>
      </w:r>
      <w:r w:rsidR="0077722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на 2021 рік</w:t>
      </w:r>
      <w:r w:rsidR="002F4F33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становлять 271,0 штатних одиниці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, в тому числі: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лікарі, включаючи директора та заступників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45,75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од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иниц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3366E4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середній медичний персонал 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90,5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од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иниць,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молодший медичний персонал 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57,75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од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иниць,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інший персонал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68,0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од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иниц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>Дохідна частина фінансового плану на 20</w:t>
      </w:r>
      <w:r w:rsidR="003366E4" w:rsidRPr="00AE2980">
        <w:rPr>
          <w:rFonts w:ascii="Times New Roman" w:hAnsi="Times New Roman" w:cs="Times New Roman"/>
          <w:bCs/>
          <w:sz w:val="24"/>
          <w:szCs w:val="24"/>
          <w:lang w:val="uk-UA"/>
        </w:rPr>
        <w:t>21</w:t>
      </w: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рік становить </w:t>
      </w:r>
      <w:r w:rsidR="003A4253">
        <w:rPr>
          <w:rFonts w:ascii="Times New Roman" w:hAnsi="Times New Roman" w:cs="Times New Roman"/>
          <w:bCs/>
          <w:sz w:val="24"/>
          <w:szCs w:val="24"/>
          <w:lang w:val="uk-UA"/>
        </w:rPr>
        <w:t>44639,5</w:t>
      </w:r>
      <w:r w:rsidR="000D56E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тис.грн</w:t>
      </w: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складається з:</w:t>
      </w:r>
    </w:p>
    <w:p w:rsidR="00902DA3" w:rsidRDefault="00196EDD" w:rsidP="00902DA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Рядок 100 «Дохід (виручка) від реалізації продукції (товарів, робіт,</w:t>
      </w:r>
      <w:r w:rsidR="003366E4"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>послуг)</w:t>
      </w:r>
      <w:r w:rsidR="003366E4"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>»</w:t>
      </w:r>
      <w:r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(кошти НСЗУ, як оплата за надані медичні посл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ги)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26517,5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тис. грн..</w:t>
      </w:r>
    </w:p>
    <w:p w:rsidR="00196EDD" w:rsidRPr="00902DA3" w:rsidRDefault="00196EDD" w:rsidP="00902DA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2DA3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Рядок 1</w:t>
      </w:r>
      <w:r w:rsidR="003366E4" w:rsidRPr="00902DA3">
        <w:rPr>
          <w:rFonts w:ascii="Times New Roman" w:hAnsi="Times New Roman" w:cs="Times New Roman"/>
          <w:bCs/>
          <w:iCs/>
          <w:sz w:val="24"/>
          <w:szCs w:val="24"/>
          <w:lang w:val="uk-UA"/>
        </w:rPr>
        <w:t>2</w:t>
      </w:r>
      <w:r w:rsidRPr="00902DA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0 «Дохід з місцевого бюджету за </w:t>
      </w:r>
      <w:r w:rsidR="003366E4" w:rsidRPr="00902DA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цільовими програмами, у тому числі: </w:t>
      </w:r>
      <w:r w:rsidR="00902DA3" w:rsidRPr="00902DA3">
        <w:rPr>
          <w:rFonts w:ascii="Times New Roman" w:hAnsi="Times New Roman" w:cs="Times New Roman"/>
          <w:sz w:val="24"/>
          <w:szCs w:val="24"/>
          <w:lang w:val="uk-UA"/>
        </w:rPr>
        <w:t>програма «Доступні та якісні медичні послуги в комунальному некомерційному підприємстві «Новоархангельська багатопрофільна лікарня» Новоархангельської селищної ради» на 2021-2023 роки</w:t>
      </w:r>
      <w:r w:rsidR="00902D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77B5">
        <w:rPr>
          <w:rFonts w:ascii="Times New Roman" w:hAnsi="Times New Roman" w:cs="Times New Roman"/>
          <w:bCs/>
          <w:iCs/>
          <w:sz w:val="24"/>
          <w:szCs w:val="24"/>
          <w:lang w:val="uk-UA"/>
        </w:rPr>
        <w:t>–</w:t>
      </w:r>
      <w:r w:rsidR="003366E4" w:rsidRPr="00902DA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="003A425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18082,0 </w:t>
      </w:r>
      <w:r w:rsidRPr="00902DA3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тис. грн. </w:t>
      </w:r>
      <w:r w:rsidR="003366E4" w:rsidRPr="00902DA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366E4" w:rsidRPr="00AE2980" w:rsidRDefault="003366E4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>Рядок 130 «Інші доходи від операційної діяльності»</w:t>
      </w:r>
      <w:r w:rsidR="009F20B5"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212D13" w:rsidRPr="00AE2980">
        <w:rPr>
          <w:rFonts w:ascii="Times New Roman" w:hAnsi="Times New Roman" w:cs="Times New Roman"/>
          <w:sz w:val="24"/>
          <w:szCs w:val="24"/>
          <w:lang w:val="uk-UA"/>
        </w:rPr>
        <w:t>40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bCs/>
          <w:iCs/>
          <w:sz w:val="24"/>
          <w:szCs w:val="24"/>
          <w:lang w:val="uk-UA"/>
        </w:rPr>
        <w:t>тис. грн..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Витратна частина фінансового плану КНП </w:t>
      </w:r>
      <w:r w:rsidR="00777224" w:rsidRPr="00AE2980">
        <w:rPr>
          <w:rFonts w:ascii="Times New Roman" w:hAnsi="Times New Roman"/>
          <w:bCs/>
          <w:iCs/>
          <w:sz w:val="24"/>
          <w:szCs w:val="24"/>
          <w:lang w:val="uk-UA"/>
        </w:rPr>
        <w:t>«Новоархангельська багатопрофільна лікарня» НСР</w:t>
      </w: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на 202</w:t>
      </w:r>
      <w:r w:rsidR="003366E4"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 </w:t>
      </w: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рік становить </w:t>
      </w:r>
      <w:r w:rsidR="00EE77B5">
        <w:rPr>
          <w:rFonts w:ascii="Times New Roman" w:hAnsi="Times New Roman" w:cs="Times New Roman"/>
          <w:bCs/>
          <w:sz w:val="24"/>
          <w:szCs w:val="24"/>
          <w:lang w:val="uk-UA"/>
        </w:rPr>
        <w:t>42708,0</w:t>
      </w: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тис. </w:t>
      </w:r>
      <w:proofErr w:type="spellStart"/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>грн</w:t>
      </w:r>
      <w:proofErr w:type="spellEnd"/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та складається з наступних витрат: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200 «Заробітна плата» —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25399,5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210 «Нарахування на оплату праці»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5587,9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>рядок 220 «Предмети</w:t>
      </w:r>
      <w:r w:rsidR="0098799C" w:rsidRPr="00AE2980">
        <w:rPr>
          <w:rFonts w:ascii="Times New Roman" w:hAnsi="Times New Roman" w:cs="Times New Roman"/>
          <w:iCs/>
          <w:sz w:val="24"/>
          <w:szCs w:val="24"/>
          <w:lang w:val="uk-UA"/>
        </w:rPr>
        <w:t>,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>матеріали, обладнання та інвентар»</w:t>
      </w:r>
      <w:r w:rsidR="002F4F33"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- </w:t>
      </w:r>
      <w:r w:rsidR="00212D13" w:rsidRPr="00AE2980">
        <w:rPr>
          <w:rFonts w:ascii="Times New Roman" w:hAnsi="Times New Roman" w:cs="Times New Roman"/>
          <w:sz w:val="24"/>
          <w:szCs w:val="24"/>
          <w:lang w:val="uk-UA"/>
        </w:rPr>
        <w:t>871,4</w:t>
      </w:r>
      <w:r w:rsidR="002F4F33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>рядок 230 «Медикаменти та перев'язувальні матеріали» -</w:t>
      </w:r>
      <w:r w:rsidR="002F4F33"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212D13" w:rsidRPr="00AE2980">
        <w:rPr>
          <w:rFonts w:ascii="Times New Roman" w:hAnsi="Times New Roman" w:cs="Times New Roman"/>
          <w:sz w:val="24"/>
          <w:szCs w:val="24"/>
          <w:lang w:val="uk-UA"/>
        </w:rPr>
        <w:t>78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240 «Продукти харчування» - </w:t>
      </w:r>
      <w:r w:rsidR="00212D13" w:rsidRPr="00AE2980">
        <w:rPr>
          <w:rFonts w:ascii="Times New Roman" w:hAnsi="Times New Roman" w:cs="Times New Roman"/>
          <w:sz w:val="24"/>
          <w:szCs w:val="24"/>
          <w:lang w:val="uk-UA"/>
        </w:rPr>
        <w:t>402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 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250 «Оплата, послуг (крім комунальних)» -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996,2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260 «Видатки на відрядження» -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65,0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270 «Оплата комунальних послуг та енергоносіїв» </w:t>
      </w:r>
      <w:r w:rsidR="00777224"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-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4099,0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тис.грн., в тому числі: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рядок 273 «Оплата електроенергії» - </w:t>
      </w:r>
      <w:r w:rsidR="00C753BC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39</w:t>
      </w:r>
      <w:r w:rsidR="00C753BC">
        <w:rPr>
          <w:rFonts w:ascii="Times New Roman" w:hAnsi="Times New Roman" w:cs="Times New Roman"/>
          <w:sz w:val="24"/>
          <w:szCs w:val="24"/>
          <w:lang w:val="uk-UA"/>
        </w:rPr>
        <w:t>0,0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рядок 275 «Оплата інших енергоносіїв» -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94681F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09,0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3A4253" w:rsidRPr="00AE2980" w:rsidRDefault="003A4253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рядок 280 «Окремі заходи по реалізації державних (регіональних) програм, не віднесені до заходів розвитку – 25,0 тис.грн.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290 «Соціальне забезпечення»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845,5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300 «Інші поточні видатки» 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170</w:t>
      </w:r>
      <w:r w:rsidR="003366E4" w:rsidRPr="00AE2980">
        <w:rPr>
          <w:rFonts w:ascii="Times New Roman" w:hAnsi="Times New Roman" w:cs="Times New Roman"/>
          <w:sz w:val="24"/>
          <w:szCs w:val="24"/>
          <w:lang w:val="uk-UA"/>
        </w:rPr>
        <w:t>,0 тис.грн.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8799C" w:rsidRPr="00AE2980" w:rsidRDefault="0098799C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>рядок 510 «</w:t>
      </w:r>
      <w:r w:rsidR="00844FC7" w:rsidRPr="00AE2980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апітальні інвестиції» -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2200,0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За </w:t>
      </w:r>
      <w:r w:rsidRPr="00AE2980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елементами операційні витрати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поділяються на: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400 «Матеріальні затрати» -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9350,4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410 «Витрати на оплату праці» - </w:t>
      </w:r>
      <w:r w:rsidR="0098799C" w:rsidRPr="00AE2980">
        <w:rPr>
          <w:rFonts w:ascii="Times New Roman" w:hAnsi="Times New Roman" w:cs="Times New Roman"/>
          <w:sz w:val="24"/>
          <w:szCs w:val="24"/>
          <w:lang w:val="uk-UA"/>
        </w:rPr>
        <w:t>25399,5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тис.грн.;</w:t>
      </w:r>
    </w:p>
    <w:p w:rsidR="00196EDD" w:rsidRPr="00AE2980" w:rsidRDefault="00196EDD" w:rsidP="00AE298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420 «Відрахування на соціальні заходи» - </w:t>
      </w:r>
      <w:r w:rsidR="0098799C" w:rsidRPr="00AE2980">
        <w:rPr>
          <w:rFonts w:ascii="Times New Roman" w:hAnsi="Times New Roman" w:cs="Times New Roman"/>
          <w:iCs/>
          <w:sz w:val="24"/>
          <w:szCs w:val="24"/>
          <w:lang w:val="uk-UA"/>
        </w:rPr>
        <w:t>5587,9</w:t>
      </w: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тис</w:t>
      </w:r>
      <w:r w:rsidR="002F4F33" w:rsidRPr="00AE2980">
        <w:rPr>
          <w:rFonts w:ascii="Times New Roman" w:hAnsi="Times New Roman" w:cs="Times New Roman"/>
          <w:sz w:val="24"/>
          <w:szCs w:val="24"/>
          <w:lang w:val="uk-UA"/>
        </w:rPr>
        <w:t>.г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>рн.;</w:t>
      </w:r>
    </w:p>
    <w:p w:rsidR="00C25A33" w:rsidRPr="00AE2980" w:rsidRDefault="00196EDD" w:rsidP="00AE2980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E2980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рядок 440 «Інші операційні витрати» 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r w:rsidR="003A4253">
        <w:rPr>
          <w:rFonts w:ascii="Times New Roman" w:hAnsi="Times New Roman" w:cs="Times New Roman"/>
          <w:sz w:val="24"/>
          <w:szCs w:val="24"/>
          <w:lang w:val="uk-UA"/>
        </w:rPr>
        <w:t>2101,7</w:t>
      </w:r>
      <w:r w:rsidRPr="00AE2980">
        <w:rPr>
          <w:rFonts w:ascii="Times New Roman" w:hAnsi="Times New Roman" w:cs="Times New Roman"/>
          <w:sz w:val="24"/>
          <w:szCs w:val="24"/>
          <w:lang w:val="uk-UA"/>
        </w:rPr>
        <w:t xml:space="preserve"> тис.грн.</w:t>
      </w:r>
    </w:p>
    <w:sectPr w:rsidR="00C25A33" w:rsidRPr="00AE2980" w:rsidSect="00AE2980">
      <w:pgSz w:w="11907" w:h="16839" w:code="9"/>
      <w:pgMar w:top="850" w:right="567" w:bottom="426" w:left="1276" w:header="709" w:footer="709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compat/>
  <w:rsids>
    <w:rsidRoot w:val="00196EDD"/>
    <w:rsid w:val="0009203B"/>
    <w:rsid w:val="000D56E9"/>
    <w:rsid w:val="000E44EC"/>
    <w:rsid w:val="00180678"/>
    <w:rsid w:val="00196EDD"/>
    <w:rsid w:val="00212D13"/>
    <w:rsid w:val="002B076D"/>
    <w:rsid w:val="002F4F33"/>
    <w:rsid w:val="003366E4"/>
    <w:rsid w:val="00364E40"/>
    <w:rsid w:val="003A4253"/>
    <w:rsid w:val="004E510C"/>
    <w:rsid w:val="005D193D"/>
    <w:rsid w:val="006D3EC5"/>
    <w:rsid w:val="006D7F03"/>
    <w:rsid w:val="00777224"/>
    <w:rsid w:val="007871B6"/>
    <w:rsid w:val="0079660B"/>
    <w:rsid w:val="007F38B4"/>
    <w:rsid w:val="00806324"/>
    <w:rsid w:val="0082117E"/>
    <w:rsid w:val="00844FC7"/>
    <w:rsid w:val="00872F80"/>
    <w:rsid w:val="00877206"/>
    <w:rsid w:val="00902DA3"/>
    <w:rsid w:val="0094681F"/>
    <w:rsid w:val="0098799C"/>
    <w:rsid w:val="00991E84"/>
    <w:rsid w:val="009F20B5"/>
    <w:rsid w:val="00AE2980"/>
    <w:rsid w:val="00BA2333"/>
    <w:rsid w:val="00C25A33"/>
    <w:rsid w:val="00C753BC"/>
    <w:rsid w:val="00D71E7B"/>
    <w:rsid w:val="00E26B30"/>
    <w:rsid w:val="00EE77B5"/>
    <w:rsid w:val="00F22284"/>
    <w:rsid w:val="00F512A3"/>
    <w:rsid w:val="00FA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A33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500AB-C6BF-4C00-A55A-F785030A4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1968</Words>
  <Characters>1123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19</cp:revision>
  <cp:lastPrinted>2021-08-30T12:36:00Z</cp:lastPrinted>
  <dcterms:created xsi:type="dcterms:W3CDTF">2020-09-15T09:02:00Z</dcterms:created>
  <dcterms:modified xsi:type="dcterms:W3CDTF">2021-08-30T12:36:00Z</dcterms:modified>
</cp:coreProperties>
</file>