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240" w:after="283"/>
        <w:jc w:val="center"/>
        <w:rPr/>
      </w:pPr>
      <w:r>
        <w:rPr/>
        <w:t>Двадцять п'ята позачергова сесія восьмого скликання</w:t>
      </w:r>
    </w:p>
    <w:p>
      <w:pPr>
        <w:pStyle w:val="3"/>
        <w:rPr/>
      </w:pPr>
      <w:r>
        <w:rPr/>
        <w:t>Порядок денний за основу та вцілому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652"/>
        <w:gridCol w:w="2552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16, ПРОТИ = 0, УТРИМАЛИСЬ = 0, НЕ ГОЛОСУВАЛИ = 1, ВІДСУТНІХ = 9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Колесник Володимир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внесення змін до рішення селищної ради від 28 січня 2022 року №2255 «Про затвердження Програми економічного і соціального розвитку Новоархангельської селищної ради на 2022 рік»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652"/>
        <w:gridCol w:w="2552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16, ПРОТИ = 0, УТРИМАЛИСЬ = 0, НЕ ГОЛОСУВАЛИ = 1, ВІДСУТНІХ = 9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Колесник Володимир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внесення змін до рішення селищної ради від 23 грудня 2021 року №1975 «Про бюджет Новоархангельської селищної територіальної громади на 2022 рік»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070"/>
        <w:gridCol w:w="2134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17, ПРОТИ = 0, УТРИМАЛИСЬ = 0, НЕ ГОЛОСУВАЛИ = 0, ВІДСУТНІХ = 9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Колесник Володимир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8070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134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spacing w:before="0" w:after="283"/>
        <w:rPr/>
      </w:pPr>
      <w:r>
        <w:rPr/>
        <w:br/>
        <w:br/>
        <w:br/>
        <w:b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lbany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Noto Sans CJK SC Regular" w:cs="FreeSans"/>
      <w:color w:val="auto"/>
      <w:sz w:val="24"/>
      <w:szCs w:val="24"/>
      <w:lang w:val="uk-UA" w:eastAsia="zh-CN" w:bidi="hi-IN"/>
    </w:rPr>
  </w:style>
  <w:style w:type="paragraph" w:styleId="1">
    <w:name w:val="Heading 1"/>
    <w:basedOn w:val="Style15"/>
    <w:next w:val="Style16"/>
    <w:qFormat/>
    <w:pPr/>
    <w:rPr>
      <w:rFonts w:ascii="Thorndale" w:hAnsi="Thorndale"/>
      <w:b/>
      <w:bCs/>
      <w:sz w:val="48"/>
      <w:szCs w:val="44"/>
    </w:rPr>
  </w:style>
  <w:style w:type="paragraph" w:styleId="3">
    <w:name w:val="Heading 3"/>
    <w:basedOn w:val="Style15"/>
    <w:next w:val="Style16"/>
    <w:qFormat/>
    <w:pPr>
      <w:spacing w:before="140" w:after="120"/>
      <w:outlineLvl w:val="2"/>
      <w:outlineLvl w:val="2"/>
    </w:pPr>
    <w:rPr>
      <w:rFonts w:ascii="Liberation Serif" w:hAnsi="Liberation Serif" w:eastAsia="Noto Sans CJK SC Regular" w:cs="FreeSans"/>
      <w:b/>
      <w:bCs/>
      <w:sz w:val="28"/>
      <w:szCs w:val="28"/>
    </w:rPr>
  </w:style>
  <w:style w:type="character" w:styleId="Style12">
    <w:name w:val="Символи кінцевої виноски"/>
    <w:qFormat/>
    <w:rPr/>
  </w:style>
  <w:style w:type="character" w:styleId="Style13">
    <w:name w:val="Символи виноски"/>
    <w:qFormat/>
    <w:rPr/>
  </w:style>
  <w:style w:type="character" w:styleId="Style14">
    <w:name w:val="Гіперпосилання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Style16">
    <w:name w:val="Body Text"/>
    <w:basedOn w:val="Normal"/>
    <w:pPr>
      <w:spacing w:before="0" w:after="283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FreeSans"/>
    </w:rPr>
  </w:style>
  <w:style w:type="paragraph" w:styleId="Style20">
    <w:name w:val="Горизонтальна лінія"/>
    <w:basedOn w:val="Normal"/>
    <w:next w:val="Style16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tyle21">
    <w:name w:val="Envelope Return"/>
    <w:basedOn w:val="Normal"/>
    <w:pPr/>
    <w:rPr>
      <w:i/>
    </w:rPr>
  </w:style>
  <w:style w:type="paragraph" w:styleId="Style22">
    <w:name w:val="Вміст таблиці"/>
    <w:basedOn w:val="Style16"/>
    <w:qFormat/>
    <w:pPr>
      <w:spacing w:lineRule="auto" w:line="240" w:before="34" w:after="34"/>
      <w:ind w:left="171" w:right="171" w:hanging="0"/>
    </w:pPr>
    <w:rPr>
      <w:color w:val="000000"/>
    </w:rPr>
  </w:style>
  <w:style w:type="paragraph" w:styleId="Style23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Style24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Style25">
    <w:name w:val="Заголовок таблиці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LibreOffice/5.1.4.2$Linux_X86_64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uk-UA</dc:language>
  <cp:lastModifiedBy/>
  <cp:revision>0</cp:revision>
  <dc:subject/>
  <dc:title/>
</cp:coreProperties>
</file>