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28A" w:rsidRPr="005C328A" w:rsidRDefault="005C328A" w:rsidP="005C32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328A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28A" w:rsidRPr="005C328A" w:rsidRDefault="005C328A" w:rsidP="005C328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C328A" w:rsidRPr="005C328A" w:rsidTr="00732739">
        <w:tc>
          <w:tcPr>
            <w:tcW w:w="9854" w:type="dxa"/>
            <w:hideMark/>
          </w:tcPr>
          <w:p w:rsidR="005C328A" w:rsidRPr="005C328A" w:rsidRDefault="005C328A" w:rsidP="005C328A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328A">
              <w:rPr>
                <w:rFonts w:ascii="Times New Roman" w:hAnsi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5C328A" w:rsidRPr="005C328A" w:rsidTr="00732739">
        <w:tc>
          <w:tcPr>
            <w:tcW w:w="9854" w:type="dxa"/>
            <w:hideMark/>
          </w:tcPr>
          <w:p w:rsidR="005C328A" w:rsidRPr="005C328A" w:rsidRDefault="005C328A" w:rsidP="005C32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28A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C328A" w:rsidRPr="005C328A" w:rsidRDefault="005C328A" w:rsidP="005C32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28A">
        <w:rPr>
          <w:rFonts w:ascii="Times New Roman" w:hAnsi="Times New Roman"/>
          <w:b/>
          <w:sz w:val="28"/>
          <w:szCs w:val="28"/>
        </w:rPr>
        <w:t>Р І Ш Е Н Н Я</w:t>
      </w:r>
    </w:p>
    <w:p w:rsidR="005C328A" w:rsidRPr="005C328A" w:rsidRDefault="005C328A" w:rsidP="005C32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28A" w:rsidRPr="005C328A" w:rsidRDefault="005C328A" w:rsidP="005C32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328A">
        <w:rPr>
          <w:rFonts w:ascii="Times New Roman" w:hAnsi="Times New Roman"/>
          <w:sz w:val="28"/>
          <w:szCs w:val="28"/>
        </w:rPr>
        <w:t xml:space="preserve">Від «22» жовтня  2021 року   </w:t>
      </w:r>
      <w:r w:rsidRPr="005C328A">
        <w:rPr>
          <w:rFonts w:ascii="Times New Roman" w:hAnsi="Times New Roman"/>
          <w:sz w:val="28"/>
          <w:szCs w:val="28"/>
        </w:rPr>
        <w:tab/>
      </w:r>
      <w:r w:rsidRPr="005C328A">
        <w:rPr>
          <w:rFonts w:ascii="Times New Roman" w:hAnsi="Times New Roman"/>
          <w:sz w:val="28"/>
          <w:szCs w:val="28"/>
        </w:rPr>
        <w:tab/>
      </w:r>
      <w:r w:rsidRPr="005C328A">
        <w:rPr>
          <w:rFonts w:ascii="Times New Roman" w:hAnsi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/>
          <w:sz w:val="28"/>
          <w:szCs w:val="28"/>
          <w:lang w:val="uk-UA"/>
        </w:rPr>
        <w:t>321</w:t>
      </w:r>
      <w:r w:rsidRPr="005C328A">
        <w:rPr>
          <w:rFonts w:ascii="Times New Roman" w:hAnsi="Times New Roman"/>
          <w:sz w:val="28"/>
          <w:szCs w:val="28"/>
        </w:rPr>
        <w:t xml:space="preserve"> </w:t>
      </w:r>
    </w:p>
    <w:p w:rsidR="005C328A" w:rsidRPr="005C328A" w:rsidRDefault="005C328A" w:rsidP="005C32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328A" w:rsidRPr="005C328A" w:rsidRDefault="005C328A" w:rsidP="005C32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328A">
        <w:rPr>
          <w:rFonts w:ascii="Times New Roman" w:hAnsi="Times New Roman"/>
          <w:sz w:val="28"/>
          <w:szCs w:val="28"/>
        </w:rPr>
        <w:t>смт Голованівськ</w:t>
      </w:r>
    </w:p>
    <w:p w:rsidR="00A71BE1" w:rsidRDefault="00A71BE1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7683A" w:rsidRPr="00C74D96" w:rsidRDefault="0077683A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D7F18" w:rsidRDefault="006D7F18" w:rsidP="006D7F1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розгляд прогнозу </w:t>
      </w:r>
      <w:r>
        <w:rPr>
          <w:rFonts w:ascii="Times New Roman" w:hAnsi="Times New Roman"/>
          <w:b/>
          <w:bCs/>
          <w:sz w:val="28"/>
          <w:szCs w:val="28"/>
        </w:rPr>
        <w:t xml:space="preserve">бюджету </w:t>
      </w:r>
    </w:p>
    <w:p w:rsidR="006D7F18" w:rsidRDefault="006D7F18" w:rsidP="006D7F18">
      <w:pPr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>Голованівської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 селищної ради</w:t>
      </w:r>
    </w:p>
    <w:p w:rsidR="006D7F18" w:rsidRDefault="006D7F18" w:rsidP="006D7F1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2022-2024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роки</w:t>
      </w:r>
    </w:p>
    <w:p w:rsidR="006D7F18" w:rsidRDefault="006D7F18" w:rsidP="006D7F18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  <w:lang w:val="uk-UA"/>
        </w:rPr>
      </w:pPr>
    </w:p>
    <w:p w:rsidR="006D7F18" w:rsidRDefault="006D7F18" w:rsidP="006D7F18">
      <w:pPr>
        <w:spacing w:after="0" w:line="240" w:lineRule="auto"/>
        <w:ind w:left="-709"/>
        <w:rPr>
          <w:rFonts w:ascii="Times New Roman" w:hAnsi="Times New Roman"/>
          <w:bCs/>
          <w:sz w:val="28"/>
          <w:szCs w:val="28"/>
          <w:lang w:val="uk-UA"/>
        </w:rPr>
      </w:pPr>
    </w:p>
    <w:p w:rsidR="006D7F18" w:rsidRDefault="006D7F18" w:rsidP="006D7F1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Відповідно до п. 23, ч. 1, ст. 26 Закону України «Про місцеве самоврядування в Україні», статті 75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  <w:lang w:val="uk-UA"/>
        </w:rPr>
        <w:t>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Бюджетного кодексу України</w:t>
      </w:r>
      <w:r>
        <w:rPr>
          <w:rFonts w:ascii="Times New Roman" w:hAnsi="Times New Roman"/>
          <w:bCs/>
          <w:sz w:val="28"/>
          <w:szCs w:val="28"/>
          <w:lang w:val="uk-UA"/>
        </w:rPr>
        <w:t>, селищна рада</w:t>
      </w:r>
    </w:p>
    <w:p w:rsidR="006D7F18" w:rsidRDefault="006D7F18" w:rsidP="006D7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D7F18" w:rsidRDefault="006D7F18" w:rsidP="006D7F1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:rsidR="006D7F18" w:rsidRDefault="006D7F18" w:rsidP="006D7F18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D7F18" w:rsidRDefault="006D7F18" w:rsidP="006D7F18">
      <w:pPr>
        <w:pStyle w:val="a6"/>
        <w:numPr>
          <w:ilvl w:val="0"/>
          <w:numId w:val="8"/>
        </w:numPr>
        <w:tabs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Прогноз бюджету Голованівської селищної ради на 2022-2024 роки взяти до відома (додається).</w:t>
      </w:r>
    </w:p>
    <w:p w:rsidR="006D7F18" w:rsidRDefault="006D7F18" w:rsidP="006D7F18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D7F18" w:rsidRDefault="006D7F18" w:rsidP="006D7F18">
      <w:pPr>
        <w:numPr>
          <w:ilvl w:val="0"/>
          <w:numId w:val="8"/>
        </w:numPr>
        <w:tabs>
          <w:tab w:val="num" w:pos="360"/>
        </w:tabs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Контроль за виконанням даного рішення покласти на постійну комісію з питан</w:t>
      </w:r>
      <w:r w:rsidRPr="00E74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ь</w:t>
      </w:r>
      <w:r w:rsidR="00E7424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74241" w:rsidRPr="00E74241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val="uk-UA"/>
        </w:rPr>
        <w:t>фінансів, бюджету, управління комунальною власністю та соціально-економічного розвитку</w:t>
      </w:r>
      <w:r w:rsidR="00E74241" w:rsidRPr="00E7424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D7F18" w:rsidRDefault="006D7F18" w:rsidP="006D7F18">
      <w:pPr>
        <w:numPr>
          <w:ilvl w:val="0"/>
          <w:numId w:val="8"/>
        </w:numPr>
        <w:tabs>
          <w:tab w:val="num" w:pos="360"/>
        </w:tabs>
        <w:ind w:left="-720"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 xml:space="preserve">Дане </w:t>
      </w:r>
      <w:r>
        <w:rPr>
          <w:rFonts w:ascii="Times New Roman" w:hAnsi="Times New Roman"/>
          <w:sz w:val="28"/>
          <w:szCs w:val="28"/>
          <w:lang w:val="uk-UA"/>
        </w:rPr>
        <w:t>рішення опублікувати у місцевих ЗМІ без додатків.</w:t>
      </w:r>
    </w:p>
    <w:p w:rsidR="00A71BE1" w:rsidRPr="00C92D1E" w:rsidRDefault="00A71BE1" w:rsidP="00B83504">
      <w:pPr>
        <w:ind w:left="-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1BE1" w:rsidRDefault="00A71BE1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  <w:r w:rsidRPr="00C92D1E">
        <w:rPr>
          <w:b/>
        </w:rPr>
        <w:t>Селищний голова                                                            Сергій</w:t>
      </w:r>
      <w:r w:rsidR="00C92D1E" w:rsidRPr="00C92D1E">
        <w:rPr>
          <w:b/>
          <w:lang w:val="uk-UA"/>
        </w:rPr>
        <w:t xml:space="preserve">  </w:t>
      </w:r>
      <w:r w:rsidRPr="00C92D1E">
        <w:rPr>
          <w:b/>
        </w:rPr>
        <w:t>ЦОБЕНК</w:t>
      </w:r>
      <w:r w:rsidRPr="00C92D1E">
        <w:rPr>
          <w:b/>
          <w:lang w:val="uk-UA"/>
        </w:rPr>
        <w:t>О</w:t>
      </w:r>
    </w:p>
    <w:p w:rsid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E74241" w:rsidRDefault="00E74241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5C328A" w:rsidRDefault="005C328A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  <w:lang w:val="uk-UA"/>
        </w:rPr>
      </w:pPr>
    </w:p>
    <w:p w:rsidR="00E74241" w:rsidRPr="000B22F9" w:rsidRDefault="00E74241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center"/>
        <w:rPr>
          <w:b/>
        </w:rPr>
      </w:pPr>
    </w:p>
    <w:p w:rsidR="00C92D1E" w:rsidRP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right"/>
        <w:rPr>
          <w:lang w:val="uk-UA"/>
        </w:rPr>
      </w:pPr>
      <w:r w:rsidRPr="00C92D1E">
        <w:rPr>
          <w:lang w:val="uk-UA"/>
        </w:rPr>
        <w:lastRenderedPageBreak/>
        <w:t>Додаток</w:t>
      </w:r>
    </w:p>
    <w:p w:rsidR="00C92D1E" w:rsidRP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right"/>
        <w:rPr>
          <w:lang w:val="uk-UA"/>
        </w:rPr>
      </w:pPr>
      <w:r w:rsidRPr="00C92D1E">
        <w:rPr>
          <w:lang w:val="uk-UA"/>
        </w:rPr>
        <w:t>до рішення сесії</w:t>
      </w:r>
    </w:p>
    <w:p w:rsidR="00C92D1E" w:rsidRPr="00C92D1E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right"/>
        <w:rPr>
          <w:lang w:val="uk-UA"/>
        </w:rPr>
      </w:pPr>
      <w:r w:rsidRPr="00C92D1E">
        <w:rPr>
          <w:lang w:val="uk-UA"/>
        </w:rPr>
        <w:t>Голованівської селищної ради</w:t>
      </w:r>
    </w:p>
    <w:p w:rsidR="00044C56" w:rsidRDefault="00C92D1E" w:rsidP="00C92D1E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jc w:val="right"/>
        <w:rPr>
          <w:b/>
          <w:lang w:val="uk-UA"/>
        </w:rPr>
      </w:pPr>
      <w:r w:rsidRPr="00C92D1E">
        <w:rPr>
          <w:lang w:val="uk-UA"/>
        </w:rPr>
        <w:t xml:space="preserve">від </w:t>
      </w:r>
      <w:r w:rsidR="005C328A">
        <w:rPr>
          <w:lang w:val="uk-UA"/>
        </w:rPr>
        <w:t xml:space="preserve">   22 жовтня </w:t>
      </w:r>
      <w:r>
        <w:rPr>
          <w:lang w:val="uk-UA"/>
        </w:rPr>
        <w:t>2021 року</w:t>
      </w:r>
      <w:r w:rsidRPr="00C92D1E">
        <w:rPr>
          <w:lang w:val="uk-UA"/>
        </w:rPr>
        <w:t xml:space="preserve"> </w:t>
      </w:r>
      <w:r w:rsidR="005C328A">
        <w:rPr>
          <w:lang w:val="uk-UA"/>
        </w:rPr>
        <w:t>№321</w:t>
      </w:r>
      <w:r w:rsidRPr="00C92D1E">
        <w:rPr>
          <w:lang w:val="uk-UA"/>
        </w:rPr>
        <w:t xml:space="preserve">      </w:t>
      </w:r>
      <w:r>
        <w:rPr>
          <w:b/>
          <w:lang w:val="uk-UA"/>
        </w:rPr>
        <w:t xml:space="preserve">              </w:t>
      </w:r>
    </w:p>
    <w:p w:rsidR="00044C56" w:rsidRDefault="00044C56" w:rsidP="00044C56">
      <w:pPr>
        <w:rPr>
          <w:lang w:val="uk-UA"/>
        </w:rPr>
      </w:pPr>
    </w:p>
    <w:p w:rsidR="00044C56" w:rsidRPr="006D7F18" w:rsidRDefault="00044C56" w:rsidP="006D7F18">
      <w:pPr>
        <w:pStyle w:val="ab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7F18">
        <w:rPr>
          <w:rFonts w:ascii="Times New Roman" w:hAnsi="Times New Roman"/>
          <w:b/>
          <w:sz w:val="28"/>
          <w:szCs w:val="28"/>
        </w:rPr>
        <w:t>ПРОГНОЗ</w:t>
      </w:r>
    </w:p>
    <w:p w:rsidR="00044C56" w:rsidRPr="006D7F18" w:rsidRDefault="00044C56" w:rsidP="006D7F18">
      <w:pPr>
        <w:pStyle w:val="1"/>
        <w:ind w:left="0" w:right="0"/>
        <w:rPr>
          <w:sz w:val="28"/>
          <w:szCs w:val="28"/>
        </w:rPr>
      </w:pPr>
      <w:r w:rsidRPr="006D7F18">
        <w:rPr>
          <w:sz w:val="28"/>
          <w:szCs w:val="28"/>
        </w:rPr>
        <w:t>селищного бюджету</w:t>
      </w:r>
      <w:r w:rsidR="006D7F18" w:rsidRPr="006D7F18">
        <w:rPr>
          <w:sz w:val="28"/>
          <w:szCs w:val="28"/>
        </w:rPr>
        <w:t xml:space="preserve"> </w:t>
      </w:r>
      <w:r w:rsidRPr="006D7F18">
        <w:rPr>
          <w:sz w:val="28"/>
          <w:szCs w:val="28"/>
        </w:rPr>
        <w:t>Голованівської</w:t>
      </w:r>
      <w:r w:rsidR="006D7F18" w:rsidRPr="006D7F18">
        <w:rPr>
          <w:sz w:val="28"/>
          <w:szCs w:val="28"/>
        </w:rPr>
        <w:t xml:space="preserve"> </w:t>
      </w:r>
      <w:r w:rsidRPr="006D7F18">
        <w:rPr>
          <w:sz w:val="28"/>
          <w:szCs w:val="28"/>
        </w:rPr>
        <w:t>селищної ради</w:t>
      </w:r>
    </w:p>
    <w:p w:rsidR="00044C56" w:rsidRPr="006D7F18" w:rsidRDefault="00044C56" w:rsidP="006D7F18">
      <w:pPr>
        <w:pStyle w:val="1"/>
        <w:ind w:left="0" w:right="0"/>
        <w:rPr>
          <w:sz w:val="28"/>
          <w:szCs w:val="28"/>
        </w:rPr>
      </w:pPr>
      <w:r w:rsidRPr="006D7F18">
        <w:rPr>
          <w:sz w:val="28"/>
          <w:szCs w:val="28"/>
        </w:rPr>
        <w:t>на 2022-2024 роки</w:t>
      </w:r>
    </w:p>
    <w:p w:rsidR="00044C56" w:rsidRPr="006D7F18" w:rsidRDefault="00044C56" w:rsidP="006D7F18">
      <w:pPr>
        <w:pStyle w:val="ab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658D" w:rsidRDefault="0001658D" w:rsidP="0001658D">
      <w:pPr>
        <w:pStyle w:val="a6"/>
        <w:widowControl w:val="0"/>
        <w:tabs>
          <w:tab w:val="left" w:pos="3990"/>
        </w:tabs>
        <w:autoSpaceDE w:val="0"/>
        <w:autoSpaceDN w:val="0"/>
        <w:spacing w:after="0" w:line="240" w:lineRule="auto"/>
        <w:ind w:left="1495" w:right="-1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1.</w:t>
      </w:r>
      <w:r>
        <w:rPr>
          <w:rFonts w:ascii="Times New Roman" w:hAnsi="Times New Roman"/>
          <w:b/>
          <w:sz w:val="28"/>
          <w:szCs w:val="28"/>
        </w:rPr>
        <w:t>Загальна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частина</w:t>
      </w:r>
    </w:p>
    <w:p w:rsidR="0001658D" w:rsidRDefault="0001658D" w:rsidP="0001658D">
      <w:pPr>
        <w:pStyle w:val="a6"/>
        <w:tabs>
          <w:tab w:val="left" w:pos="3990"/>
        </w:tabs>
        <w:spacing w:after="0" w:line="240" w:lineRule="auto"/>
        <w:ind w:left="3989" w:right="-116"/>
        <w:jc w:val="both"/>
        <w:rPr>
          <w:rFonts w:ascii="Times New Roman" w:hAnsi="Times New Roman"/>
          <w:b/>
          <w:sz w:val="28"/>
          <w:szCs w:val="28"/>
        </w:rPr>
      </w:pPr>
    </w:p>
    <w:p w:rsidR="0001658D" w:rsidRDefault="0001658D" w:rsidP="0001658D">
      <w:pPr>
        <w:pStyle w:val="ab"/>
        <w:spacing w:after="0" w:line="240" w:lineRule="auto"/>
        <w:ind w:firstLine="7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бюджету Голованівської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2022-2024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розроблений відповідно до вимог статті 75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Бюджетного кодексу України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кодексів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постанов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Кабінету Міністрів України </w:t>
      </w:r>
      <w:r>
        <w:rPr>
          <w:rFonts w:ascii="Times New Roman" w:hAnsi="Times New Roman"/>
          <w:sz w:val="28"/>
          <w:szCs w:val="28"/>
        </w:rPr>
        <w:t>та визначає основні напрями дій на середньостроковий період, які сприятимуть досягненню довгострокових стратегічних цілей.</w:t>
      </w:r>
      <w:r>
        <w:rPr>
          <w:rFonts w:ascii="Times New Roman" w:hAnsi="Times New Roman"/>
          <w:sz w:val="28"/>
          <w:szCs w:val="28"/>
        </w:rPr>
        <w:br/>
        <w:t>Метою середньострокового бюджетного прогнозування є створення дієвого механізму управління бюджетним процесом, встановлення взаємозв’язку між стратегічними цілями розвитку територіальної громади та можливостями селищного бюджету у середньостроковій перспективі.</w:t>
      </w:r>
      <w:r>
        <w:rPr>
          <w:rFonts w:ascii="Times New Roman" w:hAnsi="Times New Roman"/>
          <w:sz w:val="28"/>
          <w:szCs w:val="28"/>
        </w:rPr>
        <w:br/>
        <w:t>Головною метою для територіальної громади на середньостроковий період є забезпечення відновлення та економічного зростання Голованівської територіальної громади та підвищення її конкурентоспроможності.</w:t>
      </w:r>
    </w:p>
    <w:p w:rsidR="0001658D" w:rsidRDefault="0001658D" w:rsidP="0001658D">
      <w:pPr>
        <w:pStyle w:val="ab"/>
        <w:spacing w:after="0" w:line="240" w:lineRule="auto"/>
        <w:ind w:left="7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завданнями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Прогнозу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є:</w:t>
      </w:r>
    </w:p>
    <w:p w:rsidR="0001658D" w:rsidRDefault="0001658D" w:rsidP="0001658D">
      <w:pPr>
        <w:pStyle w:val="a6"/>
        <w:widowControl w:val="0"/>
        <w:numPr>
          <w:ilvl w:val="0"/>
          <w:numId w:val="9"/>
        </w:numPr>
        <w:tabs>
          <w:tab w:val="left" w:pos="934"/>
        </w:tabs>
        <w:autoSpaceDE w:val="0"/>
        <w:autoSpaceDN w:val="0"/>
        <w:spacing w:after="0" w:line="240" w:lineRule="auto"/>
        <w:ind w:left="9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стабільного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функціонування бюджетних установ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територіальної громади;</w:t>
      </w:r>
    </w:p>
    <w:p w:rsidR="0001658D" w:rsidRDefault="0001658D" w:rsidP="0001658D">
      <w:pPr>
        <w:pStyle w:val="a6"/>
        <w:widowControl w:val="0"/>
        <w:numPr>
          <w:ilvl w:val="0"/>
          <w:numId w:val="9"/>
        </w:numPr>
        <w:tabs>
          <w:tab w:val="left" w:pos="934"/>
        </w:tabs>
        <w:autoSpaceDE w:val="0"/>
        <w:autoSpaceDN w:val="0"/>
        <w:spacing w:after="0" w:line="240" w:lineRule="auto"/>
        <w:ind w:left="9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ефективності бюджетних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видатків;</w:t>
      </w:r>
    </w:p>
    <w:p w:rsidR="0001658D" w:rsidRDefault="0001658D" w:rsidP="0001658D">
      <w:pPr>
        <w:pStyle w:val="a6"/>
        <w:widowControl w:val="0"/>
        <w:numPr>
          <w:ilvl w:val="0"/>
          <w:numId w:val="9"/>
        </w:numPr>
        <w:tabs>
          <w:tab w:val="left" w:pos="1004"/>
        </w:tabs>
        <w:autoSpaceDE w:val="0"/>
        <w:autoSpaceDN w:val="0"/>
        <w:spacing w:after="0" w:line="240" w:lineRule="auto"/>
        <w:ind w:right="238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Посилення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витрачанням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коштів;</w:t>
      </w:r>
    </w:p>
    <w:p w:rsidR="0001658D" w:rsidRDefault="0001658D" w:rsidP="0001658D">
      <w:pPr>
        <w:pStyle w:val="a6"/>
        <w:widowControl w:val="0"/>
        <w:numPr>
          <w:ilvl w:val="0"/>
          <w:numId w:val="9"/>
        </w:numPr>
        <w:tabs>
          <w:tab w:val="left" w:pos="954"/>
        </w:tabs>
        <w:autoSpaceDE w:val="0"/>
        <w:autoSpaceDN w:val="0"/>
        <w:spacing w:after="0" w:line="240" w:lineRule="auto"/>
        <w:ind w:right="237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удосконалення системи результативних показників з метою підвищення якості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відповідних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сферах.</w:t>
      </w:r>
    </w:p>
    <w:p w:rsidR="0001658D" w:rsidRDefault="0001658D" w:rsidP="0001658D">
      <w:pPr>
        <w:pStyle w:val="ab"/>
        <w:spacing w:after="0" w:line="240" w:lineRule="auto"/>
        <w:ind w:right="2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Прогноз включає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показники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економічного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 територіальної громади, індикативні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прогнозні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показники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доходів,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фінансування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видатків, взаємовідносини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pacing w:val="1"/>
          <w:sz w:val="28"/>
          <w:szCs w:val="28"/>
        </w:rPr>
        <w:t xml:space="preserve">селищного </w:t>
      </w:r>
      <w:r>
        <w:rPr>
          <w:rFonts w:ascii="Times New Roman" w:hAnsi="Times New Roman"/>
          <w:sz w:val="28"/>
          <w:szCs w:val="28"/>
        </w:rPr>
        <w:t>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державним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іншими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бюджетами.</w:t>
      </w:r>
    </w:p>
    <w:p w:rsidR="0001658D" w:rsidRDefault="0001658D" w:rsidP="0001658D">
      <w:pPr>
        <w:pStyle w:val="ab"/>
        <w:spacing w:after="0" w:line="240" w:lineRule="auto"/>
        <w:ind w:right="235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селищної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базується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принципах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збалансованості, обґрунтованості,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ефективності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результативності.</w:t>
      </w:r>
    </w:p>
    <w:p w:rsidR="0001658D" w:rsidRDefault="0001658D" w:rsidP="0001658D">
      <w:pPr>
        <w:pStyle w:val="ab"/>
        <w:spacing w:after="0" w:line="240" w:lineRule="auto"/>
        <w:ind w:right="235" w:firstLine="566"/>
        <w:jc w:val="both"/>
        <w:rPr>
          <w:rFonts w:ascii="Times New Roman" w:hAnsi="Times New Roman"/>
          <w:sz w:val="28"/>
          <w:szCs w:val="28"/>
        </w:rPr>
      </w:pPr>
    </w:p>
    <w:p w:rsidR="0001658D" w:rsidRDefault="0001658D" w:rsidP="001C5EF5">
      <w:pPr>
        <w:pStyle w:val="1"/>
        <w:numPr>
          <w:ilvl w:val="0"/>
          <w:numId w:val="13"/>
        </w:numPr>
        <w:ind w:right="0"/>
        <w:rPr>
          <w:sz w:val="28"/>
          <w:szCs w:val="28"/>
        </w:rPr>
      </w:pPr>
      <w:r>
        <w:rPr>
          <w:sz w:val="28"/>
          <w:szCs w:val="28"/>
        </w:rPr>
        <w:t xml:space="preserve">Основні прогнозні показники </w:t>
      </w:r>
      <w:r>
        <w:rPr>
          <w:spacing w:val="-8"/>
          <w:sz w:val="28"/>
          <w:szCs w:val="28"/>
        </w:rPr>
        <w:t>економічного та соціального розвитку</w:t>
      </w:r>
    </w:p>
    <w:p w:rsidR="0001658D" w:rsidRDefault="0001658D" w:rsidP="0001658D">
      <w:pPr>
        <w:pStyle w:val="ab"/>
        <w:spacing w:after="0" w:line="240" w:lineRule="auto"/>
        <w:ind w:right="228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Основні прогнозні показники селищного бюджету є основою для складання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головними розпорядниками бюджетних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планів своєї діяльності на 2022 -2024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роки.</w:t>
      </w:r>
    </w:p>
    <w:p w:rsidR="0001658D" w:rsidRDefault="0001658D" w:rsidP="0001658D">
      <w:pPr>
        <w:pStyle w:val="ab"/>
        <w:spacing w:after="0" w:line="240" w:lineRule="auto"/>
        <w:ind w:right="233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здійсненні прогнозу селищного бюджету на 2022-2024 роки застосовані 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основні   прогнозні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макропоказники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економічного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7"/>
          <w:sz w:val="28"/>
          <w:szCs w:val="28"/>
        </w:rPr>
        <w:t>громади</w:t>
      </w:r>
      <w:r>
        <w:rPr>
          <w:rFonts w:ascii="Times New Roman" w:hAnsi="Times New Roman"/>
          <w:sz w:val="28"/>
          <w:szCs w:val="28"/>
        </w:rPr>
        <w:t>: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985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5"/>
        <w:gridCol w:w="1454"/>
        <w:gridCol w:w="1559"/>
        <w:gridCol w:w="1134"/>
      </w:tblGrid>
      <w:tr w:rsidR="0001658D" w:rsidTr="0001658D">
        <w:trPr>
          <w:trHeight w:val="300"/>
        </w:trPr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jc w:val="both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Назва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2022 рік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2023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рік</w:t>
            </w:r>
          </w:p>
        </w:tc>
      </w:tr>
      <w:tr w:rsidR="0001658D" w:rsidTr="0001658D">
        <w:trPr>
          <w:trHeight w:val="536"/>
        </w:trPr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W w:w="7512" w:type="dxa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601"/>
              <w:gridCol w:w="1911"/>
            </w:tblGrid>
            <w:tr w:rsidR="0001658D">
              <w:trPr>
                <w:trHeight w:hRule="exact" w:val="404"/>
                <w:tblCellSpacing w:w="0" w:type="dxa"/>
                <w:jc w:val="center"/>
              </w:trPr>
              <w:tc>
                <w:tcPr>
                  <w:tcW w:w="5592" w:type="dxa"/>
                  <w:vAlign w:val="center"/>
                  <w:hideMark/>
                </w:tcPr>
                <w:p w:rsidR="0001658D" w:rsidRDefault="0001658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ЧЧ         Чисельність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наявного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населення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(осіб)</w:t>
                  </w:r>
                </w:p>
              </w:tc>
              <w:tc>
                <w:tcPr>
                  <w:tcW w:w="1908" w:type="dxa"/>
                  <w:vAlign w:val="center"/>
                  <w:hideMark/>
                </w:tcPr>
                <w:p w:rsidR="0001658D" w:rsidRDefault="0001658D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  <w:tr w:rsidR="0001658D">
              <w:trPr>
                <w:trHeight w:hRule="exact" w:val="80"/>
                <w:tblCellSpacing w:w="0" w:type="dxa"/>
                <w:jc w:val="center"/>
              </w:trPr>
              <w:tc>
                <w:tcPr>
                  <w:tcW w:w="5592" w:type="dxa"/>
                  <w:vAlign w:val="center"/>
                </w:tcPr>
                <w:p w:rsidR="0001658D" w:rsidRDefault="0001658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08" w:type="dxa"/>
                  <w:vAlign w:val="center"/>
                </w:tcPr>
                <w:p w:rsidR="0001658D" w:rsidRDefault="0001658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16156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15938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15720</w:t>
            </w:r>
          </w:p>
        </w:tc>
      </w:tr>
      <w:tr w:rsidR="0001658D" w:rsidTr="0001658D">
        <w:trPr>
          <w:trHeight w:hRule="exact" w:val="437"/>
        </w:trPr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58D" w:rsidRDefault="0001658D">
            <w:pPr>
              <w:widowControl/>
              <w:autoSpaceDE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приріст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населення</w:t>
            </w:r>
          </w:p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-216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-218</w:t>
            </w:r>
          </w:p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-218</w:t>
            </w:r>
          </w:p>
        </w:tc>
      </w:tr>
      <w:tr w:rsidR="0001658D" w:rsidTr="0001658D">
        <w:trPr>
          <w:trHeight w:val="597"/>
        </w:trPr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Індекс споживчих цін (грудень до грудня</w:t>
            </w:r>
          </w:p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попереднього року) відсотки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106,2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105,0</w:t>
            </w:r>
          </w:p>
        </w:tc>
      </w:tr>
      <w:tr w:rsidR="0001658D" w:rsidTr="0001658D">
        <w:trPr>
          <w:trHeight w:val="599"/>
        </w:trPr>
        <w:tc>
          <w:tcPr>
            <w:tcW w:w="5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Індекс цін виробників (грудень до грудня</w:t>
            </w:r>
          </w:p>
          <w:p w:rsidR="0001658D" w:rsidRDefault="0001658D">
            <w:pPr>
              <w:pStyle w:val="TableParagraph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попереднього року) відсотки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658D" w:rsidRDefault="0001658D">
            <w:pPr>
              <w:pStyle w:val="TableParagraph"/>
              <w:ind w:left="107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105,7</w:t>
            </w:r>
          </w:p>
        </w:tc>
      </w:tr>
    </w:tbl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формування видаткової частини на 2022-2024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враховано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показники:</w:t>
      </w:r>
    </w:p>
    <w:p w:rsidR="0001658D" w:rsidRDefault="0001658D" w:rsidP="0001658D">
      <w:pPr>
        <w:pStyle w:val="a6"/>
        <w:tabs>
          <w:tab w:val="left" w:pos="476"/>
        </w:tabs>
        <w:spacing w:after="0" w:line="240" w:lineRule="auto"/>
        <w:ind w:left="4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Мінімальна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заробітна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плата: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> 2022 року 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6500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гривень;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жовтня 2022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- 6 700 гривень;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7 176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гривень;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2024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7 765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гривень.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58D" w:rsidRDefault="0001658D" w:rsidP="0001658D">
      <w:pPr>
        <w:tabs>
          <w:tab w:val="left" w:pos="476"/>
        </w:tabs>
        <w:spacing w:after="0" w:line="240" w:lineRule="auto"/>
        <w:ind w:left="215" w:right="1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б) Посадовий оклад працівника 1 тарифного розряду Єдиної тарифної сітки:</w:t>
      </w:r>
    </w:p>
    <w:p w:rsidR="0001658D" w:rsidRDefault="0001658D" w:rsidP="0001658D">
      <w:pPr>
        <w:pStyle w:val="a6"/>
        <w:tabs>
          <w:tab w:val="left" w:pos="476"/>
        </w:tabs>
        <w:spacing w:after="0" w:line="240" w:lineRule="auto"/>
        <w:ind w:right="1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2983 гривень;</w:t>
      </w:r>
    </w:p>
    <w:p w:rsidR="0001658D" w:rsidRDefault="0001658D" w:rsidP="0001658D">
      <w:pPr>
        <w:pStyle w:val="a6"/>
        <w:tabs>
          <w:tab w:val="left" w:pos="476"/>
        </w:tabs>
        <w:spacing w:after="0" w:line="240" w:lineRule="auto"/>
        <w:ind w:right="1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жовтня 2022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- 2982 гривні;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3 193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гривні;</w:t>
      </w:r>
    </w:p>
    <w:p w:rsidR="0001658D" w:rsidRDefault="0001658D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січня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2024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3411</w:t>
      </w:r>
      <w:r>
        <w:rPr>
          <w:rFonts w:ascii="Times New Roman" w:hAnsi="Times New Roman"/>
          <w:sz w:val="28"/>
          <w:szCs w:val="28"/>
          <w:lang w:val="uk-UA"/>
        </w:rPr>
        <w:t xml:space="preserve"> г</w:t>
      </w:r>
      <w:r>
        <w:rPr>
          <w:rFonts w:ascii="Times New Roman" w:hAnsi="Times New Roman"/>
          <w:sz w:val="28"/>
          <w:szCs w:val="28"/>
        </w:rPr>
        <w:t>ривень.</w:t>
      </w:r>
    </w:p>
    <w:p w:rsidR="00DC759F" w:rsidRPr="00DC759F" w:rsidRDefault="00DC759F" w:rsidP="0001658D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658D" w:rsidRDefault="0001658D" w:rsidP="00DC759F">
      <w:pPr>
        <w:pStyle w:val="western"/>
        <w:shd w:val="clear" w:color="auto" w:fill="FFFFFF"/>
        <w:spacing w:before="0" w:beforeAutospacing="0"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3.Загальні показники бюджету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(додаток 1)</w:t>
      </w:r>
    </w:p>
    <w:p w:rsidR="00DC759F" w:rsidRDefault="00DC759F" w:rsidP="0001658D">
      <w:pPr>
        <w:pStyle w:val="western"/>
        <w:shd w:val="clear" w:color="auto" w:fill="FFFFFF"/>
        <w:spacing w:before="0" w:beforeAutospacing="0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C759F" w:rsidRDefault="00DC759F" w:rsidP="00DC759F">
      <w:pPr>
        <w:pStyle w:val="western"/>
        <w:shd w:val="clear" w:color="auto" w:fill="FFFFFF"/>
        <w:spacing w:before="0" w:beforeAutospacing="0" w:after="0" w:line="240" w:lineRule="auto"/>
        <w:ind w:left="113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4.Показники доходів селищного бюджету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(додаток 2)</w:t>
      </w:r>
    </w:p>
    <w:p w:rsidR="00DC759F" w:rsidRDefault="00DC759F" w:rsidP="00DC759F">
      <w:pPr>
        <w:pStyle w:val="western"/>
        <w:shd w:val="clear" w:color="auto" w:fill="FFFFFF"/>
        <w:spacing w:before="0" w:beforeAutospacing="0" w:after="0" w:line="240" w:lineRule="auto"/>
        <w:ind w:left="1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59F" w:rsidRDefault="00DC759F" w:rsidP="00DC759F">
      <w:pPr>
        <w:pStyle w:val="western"/>
        <w:shd w:val="clear" w:color="auto" w:fill="FFFFFF"/>
        <w:spacing w:before="0" w:beforeAutospacing="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Прогноз доходів бюджету селищної ради розроблено на підставі основних прогнозних показників економічного і соціального розвитку територіальної громади на 2022–2024 роки з урахуванням основних напрямів реформування податкової системи, визначених у Податковому кодексі України зі змінами і доповненнями.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За аналітичними даними основним джерелом доходів загального фонду бюджету селищної ради  (біля 60 %) є податок на доходи фізичних осіб, що сплачується податковими агентами, із доходів платника податку у вигляді заробітної плати, місцеві податків та зборів та інших виплат.</w:t>
      </w:r>
      <w:r>
        <w:rPr>
          <w:rFonts w:ascii="Times New Roman" w:hAnsi="Times New Roman" w:cs="Times New Roman"/>
          <w:sz w:val="28"/>
          <w:szCs w:val="28"/>
          <w:highlight w:val="yellow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Фактори впливу на збільшення надходжень платежів до бюджету селищної ради:</w:t>
      </w:r>
    </w:p>
    <w:p w:rsidR="00DC759F" w:rsidRDefault="00DC759F" w:rsidP="00DC759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Збільшення кількості робочих місць;</w:t>
      </w:r>
      <w:r>
        <w:rPr>
          <w:rFonts w:ascii="Times New Roman" w:hAnsi="Times New Roman"/>
          <w:sz w:val="28"/>
          <w:szCs w:val="28"/>
          <w:lang w:val="uk-UA"/>
        </w:rPr>
        <w:br/>
        <w:t>- своєчасна виплата заробітної плати;</w:t>
      </w:r>
      <w:r>
        <w:rPr>
          <w:rFonts w:ascii="Times New Roman" w:hAnsi="Times New Roman"/>
          <w:sz w:val="28"/>
          <w:szCs w:val="28"/>
          <w:lang w:val="uk-UA"/>
        </w:rPr>
        <w:br/>
      </w:r>
    </w:p>
    <w:p w:rsidR="00DC759F" w:rsidRDefault="00DC759F" w:rsidP="00DC759F">
      <w:pPr>
        <w:pStyle w:val="western"/>
        <w:numPr>
          <w:ilvl w:val="0"/>
          <w:numId w:val="9"/>
        </w:numPr>
        <w:shd w:val="clear" w:color="auto" w:fill="FFFFFF"/>
        <w:spacing w:before="0" w:beforeAutospacing="0" w:after="0" w:line="240" w:lineRule="auto"/>
        <w:ind w:left="0" w:hanging="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сприятливий клімат для інвестицій в економіку селищної ради;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проведення заходів детінізації відносин у сфері зайнятості населення, легалізації трудових відносин та виплати заробітної плати, дотримання суб’єктами господарювання вимог законодавства щодо мінімального розміру заробітної плати;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своєчасне погашення по додаткових зобов'язань перед бюджетом;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збільшення власних надходжень бюджетних установ.</w:t>
      </w:r>
    </w:p>
    <w:p w:rsidR="00DC759F" w:rsidRDefault="00DC759F" w:rsidP="00DC759F">
      <w:pPr>
        <w:pStyle w:val="11"/>
        <w:ind w:hanging="10"/>
        <w:jc w:val="both"/>
        <w:rPr>
          <w:lang w:val="uk-UA"/>
        </w:rPr>
      </w:pPr>
      <w:r>
        <w:rPr>
          <w:lang w:val="uk-UA"/>
        </w:rPr>
        <w:t>Законодавчою основою формування дохідної частини бюджету Голованівської селищної ради є норми Бюджетного та Податкового кодексів України.</w:t>
      </w:r>
    </w:p>
    <w:p w:rsidR="00DC759F" w:rsidRDefault="00DC759F" w:rsidP="00DC759F">
      <w:pPr>
        <w:pStyle w:val="11"/>
        <w:ind w:hanging="10"/>
        <w:jc w:val="both"/>
        <w:rPr>
          <w:lang w:val="uk-UA"/>
        </w:rPr>
      </w:pPr>
      <w:r>
        <w:rPr>
          <w:lang w:val="uk-UA"/>
        </w:rPr>
        <w:t xml:space="preserve">Обсяг дохідної частини бюджету Голованівської селищної ради на </w:t>
      </w:r>
      <w:r>
        <w:rPr>
          <w:b/>
          <w:lang w:val="uk-UA"/>
        </w:rPr>
        <w:t>2022</w:t>
      </w:r>
      <w:r>
        <w:rPr>
          <w:lang w:val="uk-UA"/>
        </w:rPr>
        <w:t xml:space="preserve"> рік прогнозується в сумі 146 687570 грн, із них:</w:t>
      </w:r>
    </w:p>
    <w:p w:rsidR="00DC759F" w:rsidRDefault="00DC759F" w:rsidP="00DC759F">
      <w:pPr>
        <w:pStyle w:val="11"/>
        <w:numPr>
          <w:ilvl w:val="0"/>
          <w:numId w:val="11"/>
        </w:numPr>
        <w:tabs>
          <w:tab w:val="left" w:pos="1423"/>
        </w:tabs>
        <w:ind w:hanging="10"/>
        <w:jc w:val="both"/>
      </w:pPr>
      <w:r>
        <w:t>Доходи (без урахування</w:t>
      </w:r>
      <w:r>
        <w:rPr>
          <w:lang w:val="uk-UA"/>
        </w:rPr>
        <w:t xml:space="preserve"> </w:t>
      </w:r>
      <w:r>
        <w:t>міжбюджетних</w:t>
      </w:r>
      <w:r>
        <w:rPr>
          <w:lang w:val="uk-UA"/>
        </w:rPr>
        <w:t xml:space="preserve"> </w:t>
      </w:r>
      <w:r>
        <w:t>трансфертів) – 95 914 870 грн, в т.ч.</w:t>
      </w:r>
      <w:r w:rsidR="0017722A">
        <w:t>:</w:t>
      </w:r>
    </w:p>
    <w:p w:rsidR="00DC759F" w:rsidRDefault="00DC759F" w:rsidP="00DC759F">
      <w:pPr>
        <w:pStyle w:val="11"/>
        <w:ind w:left="1140" w:firstLine="0"/>
        <w:jc w:val="both"/>
      </w:pPr>
      <w:r>
        <w:t>Податкові</w:t>
      </w:r>
      <w:r>
        <w:rPr>
          <w:lang w:val="uk-UA"/>
        </w:rPr>
        <w:t xml:space="preserve"> </w:t>
      </w:r>
      <w:r>
        <w:t>надходження – 93 951 570 грн,</w:t>
      </w:r>
    </w:p>
    <w:p w:rsidR="00DC759F" w:rsidRDefault="00DC759F" w:rsidP="00DC759F">
      <w:pPr>
        <w:pStyle w:val="11"/>
        <w:ind w:left="1140" w:firstLine="0"/>
        <w:jc w:val="both"/>
      </w:pPr>
      <w:r>
        <w:t>Неподаткові</w:t>
      </w:r>
      <w:r>
        <w:rPr>
          <w:lang w:val="uk-UA"/>
        </w:rPr>
        <w:t xml:space="preserve"> </w:t>
      </w:r>
      <w:r>
        <w:t>надходження – 930 300 грн,</w:t>
      </w:r>
    </w:p>
    <w:p w:rsidR="00DC759F" w:rsidRDefault="00DC759F" w:rsidP="00DC759F">
      <w:pPr>
        <w:pStyle w:val="11"/>
        <w:ind w:left="1140" w:firstLine="0"/>
        <w:jc w:val="both"/>
      </w:pPr>
      <w:r>
        <w:t>Доходи від</w:t>
      </w:r>
      <w:r>
        <w:rPr>
          <w:lang w:val="uk-UA"/>
        </w:rPr>
        <w:t xml:space="preserve"> </w:t>
      </w:r>
      <w:r>
        <w:t>операцій з капіталом –3 000 грн,</w:t>
      </w:r>
    </w:p>
    <w:p w:rsidR="00DC759F" w:rsidRDefault="00DC759F" w:rsidP="00DC759F">
      <w:pPr>
        <w:pStyle w:val="11"/>
        <w:ind w:left="1140" w:firstLine="0"/>
        <w:jc w:val="both"/>
      </w:pPr>
      <w:r>
        <w:t>Власні</w:t>
      </w:r>
      <w:r>
        <w:rPr>
          <w:lang w:val="uk-UA"/>
        </w:rPr>
        <w:t xml:space="preserve"> </w:t>
      </w:r>
      <w:r>
        <w:t>надходження</w:t>
      </w:r>
      <w:r>
        <w:rPr>
          <w:lang w:val="uk-UA"/>
        </w:rPr>
        <w:t xml:space="preserve"> </w:t>
      </w:r>
      <w:r>
        <w:t>бюджетних</w:t>
      </w:r>
      <w:r>
        <w:rPr>
          <w:lang w:val="uk-UA"/>
        </w:rPr>
        <w:t xml:space="preserve"> </w:t>
      </w:r>
      <w:r>
        <w:t>установ – 1 030 000 грн;</w:t>
      </w:r>
    </w:p>
    <w:p w:rsidR="00DC759F" w:rsidRDefault="00DC759F" w:rsidP="00DC759F">
      <w:pPr>
        <w:pStyle w:val="11"/>
        <w:ind w:left="1140" w:firstLine="0"/>
        <w:jc w:val="both"/>
      </w:pPr>
    </w:p>
    <w:p w:rsidR="00DC759F" w:rsidRDefault="00DC759F" w:rsidP="00DC759F">
      <w:pPr>
        <w:pStyle w:val="11"/>
        <w:ind w:left="1140" w:firstLine="0"/>
        <w:jc w:val="both"/>
      </w:pPr>
      <w:r>
        <w:t>-Офіційні</w:t>
      </w:r>
      <w:r>
        <w:rPr>
          <w:lang w:val="uk-UA"/>
        </w:rPr>
        <w:t xml:space="preserve"> </w:t>
      </w:r>
      <w:r>
        <w:t>трансферти 50 772 700 грн у т.ч.:</w:t>
      </w:r>
    </w:p>
    <w:p w:rsidR="00DC759F" w:rsidRDefault="00DC759F" w:rsidP="00DC759F">
      <w:pPr>
        <w:pStyle w:val="11"/>
        <w:tabs>
          <w:tab w:val="left" w:pos="1412"/>
        </w:tabs>
        <w:ind w:left="1140" w:firstLine="0"/>
        <w:jc w:val="both"/>
      </w:pPr>
      <w:r>
        <w:t>субвенції з державного бюджету місцевим бюджетам –48 528 500 грн,</w:t>
      </w:r>
    </w:p>
    <w:p w:rsidR="00DC759F" w:rsidRDefault="00DC759F" w:rsidP="00DC759F">
      <w:pPr>
        <w:pStyle w:val="11"/>
        <w:ind w:left="1140" w:firstLine="0"/>
        <w:jc w:val="both"/>
      </w:pPr>
      <w:r>
        <w:t>субвенції з місцевих</w:t>
      </w:r>
      <w:r>
        <w:rPr>
          <w:lang w:val="uk-UA"/>
        </w:rPr>
        <w:t xml:space="preserve"> </w:t>
      </w:r>
      <w:r>
        <w:t>бюджетів</w:t>
      </w:r>
      <w:r>
        <w:rPr>
          <w:lang w:val="uk-UA"/>
        </w:rPr>
        <w:t xml:space="preserve"> </w:t>
      </w:r>
      <w:r>
        <w:t>іншим</w:t>
      </w:r>
      <w:r>
        <w:rPr>
          <w:lang w:val="uk-UA"/>
        </w:rPr>
        <w:t xml:space="preserve"> </w:t>
      </w:r>
      <w:r>
        <w:t>місцевим  бюджетам –2 244 200 грн.</w:t>
      </w:r>
    </w:p>
    <w:p w:rsidR="00DC759F" w:rsidRDefault="00DC759F" w:rsidP="00DC759F">
      <w:pPr>
        <w:pStyle w:val="11"/>
        <w:ind w:left="1140" w:firstLine="0"/>
        <w:jc w:val="both"/>
        <w:rPr>
          <w:highlight w:val="yellow"/>
        </w:rPr>
      </w:pPr>
    </w:p>
    <w:p w:rsidR="00DC759F" w:rsidRDefault="00DC759F" w:rsidP="00DC759F">
      <w:pPr>
        <w:pStyle w:val="11"/>
        <w:ind w:left="580" w:firstLine="560"/>
        <w:jc w:val="both"/>
      </w:pPr>
      <w:r>
        <w:t>Обсяг</w:t>
      </w:r>
      <w:r>
        <w:rPr>
          <w:lang w:val="uk-UA"/>
        </w:rPr>
        <w:t xml:space="preserve"> </w:t>
      </w:r>
      <w:r>
        <w:t>дохідної</w:t>
      </w:r>
      <w:r>
        <w:rPr>
          <w:lang w:val="uk-UA"/>
        </w:rPr>
        <w:t xml:space="preserve"> </w:t>
      </w:r>
      <w:r>
        <w:t xml:space="preserve">частини бюджету </w:t>
      </w:r>
      <w:r>
        <w:rPr>
          <w:lang w:val="uk-UA"/>
        </w:rPr>
        <w:t>Голованівської селищної ради</w:t>
      </w:r>
      <w:r>
        <w:t xml:space="preserve"> на </w:t>
      </w:r>
      <w:r>
        <w:rPr>
          <w:b/>
        </w:rPr>
        <w:t>2023</w:t>
      </w:r>
      <w:r>
        <w:rPr>
          <w:b/>
          <w:lang w:val="uk-UA"/>
        </w:rPr>
        <w:t xml:space="preserve"> </w:t>
      </w:r>
      <w:r>
        <w:t>рік</w:t>
      </w:r>
      <w:r>
        <w:rPr>
          <w:lang w:val="uk-UA"/>
        </w:rPr>
        <w:t xml:space="preserve"> </w:t>
      </w:r>
      <w:r>
        <w:t>прогнозується в сумі 162 850 765</w:t>
      </w:r>
      <w:r>
        <w:rPr>
          <w:lang w:val="uk-UA"/>
        </w:rPr>
        <w:t xml:space="preserve"> </w:t>
      </w:r>
      <w:r>
        <w:t>грн, із них:</w:t>
      </w:r>
    </w:p>
    <w:p w:rsidR="00DC759F" w:rsidRDefault="00DC759F" w:rsidP="00DC759F">
      <w:pPr>
        <w:pStyle w:val="11"/>
        <w:numPr>
          <w:ilvl w:val="0"/>
          <w:numId w:val="11"/>
        </w:numPr>
        <w:tabs>
          <w:tab w:val="left" w:pos="1423"/>
        </w:tabs>
        <w:ind w:left="580" w:firstLine="560"/>
        <w:jc w:val="both"/>
      </w:pPr>
      <w:r>
        <w:t>Доходи (без урахування</w:t>
      </w:r>
      <w:r>
        <w:rPr>
          <w:lang w:val="uk-UA"/>
        </w:rPr>
        <w:t xml:space="preserve"> </w:t>
      </w:r>
      <w:r>
        <w:t>міжбюджетних</w:t>
      </w:r>
      <w:r>
        <w:rPr>
          <w:lang w:val="uk-UA"/>
        </w:rPr>
        <w:t xml:space="preserve"> </w:t>
      </w:r>
      <w:r>
        <w:t>трансфертів) –107 156 405 грн, в т.ч.</w:t>
      </w:r>
    </w:p>
    <w:p w:rsidR="00DC759F" w:rsidRDefault="00DC759F" w:rsidP="00DC759F">
      <w:pPr>
        <w:pStyle w:val="11"/>
        <w:ind w:left="1140" w:firstLine="0"/>
        <w:jc w:val="both"/>
      </w:pPr>
      <w:r>
        <w:t>Податкові</w:t>
      </w:r>
      <w:r>
        <w:rPr>
          <w:lang w:val="uk-UA"/>
        </w:rPr>
        <w:t xml:space="preserve"> </w:t>
      </w:r>
      <w:r>
        <w:t>надходження – 105 072405 грн,</w:t>
      </w:r>
    </w:p>
    <w:p w:rsidR="00DC759F" w:rsidRDefault="00DC759F" w:rsidP="00DC759F">
      <w:pPr>
        <w:pStyle w:val="11"/>
        <w:ind w:left="1140" w:firstLine="0"/>
        <w:jc w:val="both"/>
      </w:pPr>
      <w:r>
        <w:t>Неподаткові</w:t>
      </w:r>
      <w:r>
        <w:rPr>
          <w:lang w:val="uk-UA"/>
        </w:rPr>
        <w:t xml:space="preserve"> </w:t>
      </w:r>
      <w:r>
        <w:t>надходження – 948 000 грн,</w:t>
      </w:r>
    </w:p>
    <w:p w:rsidR="00DC759F" w:rsidRDefault="00DC759F" w:rsidP="00DC759F">
      <w:pPr>
        <w:pStyle w:val="11"/>
        <w:ind w:left="1140" w:firstLine="0"/>
        <w:jc w:val="both"/>
      </w:pPr>
      <w:r>
        <w:t>Доходи</w:t>
      </w:r>
      <w:r>
        <w:rPr>
          <w:lang w:val="uk-UA"/>
        </w:rPr>
        <w:t xml:space="preserve"> </w:t>
      </w:r>
      <w:r>
        <w:t>від</w:t>
      </w:r>
      <w:r>
        <w:rPr>
          <w:lang w:val="uk-UA"/>
        </w:rPr>
        <w:t xml:space="preserve"> </w:t>
      </w:r>
      <w:r>
        <w:t>операцій з капіталом – 3 000 грн,</w:t>
      </w:r>
    </w:p>
    <w:p w:rsidR="00DC759F" w:rsidRDefault="00DC759F" w:rsidP="00DC759F">
      <w:pPr>
        <w:pStyle w:val="11"/>
        <w:ind w:left="1140" w:firstLine="0"/>
        <w:jc w:val="both"/>
      </w:pPr>
      <w:r>
        <w:t>Власні</w:t>
      </w:r>
      <w:r>
        <w:rPr>
          <w:lang w:val="uk-UA"/>
        </w:rPr>
        <w:t xml:space="preserve"> </w:t>
      </w:r>
      <w:r>
        <w:t>надходження</w:t>
      </w:r>
      <w:r>
        <w:rPr>
          <w:lang w:val="uk-UA"/>
        </w:rPr>
        <w:t xml:space="preserve"> </w:t>
      </w:r>
      <w:r>
        <w:t>бюджетних</w:t>
      </w:r>
      <w:r>
        <w:rPr>
          <w:lang w:val="uk-UA"/>
        </w:rPr>
        <w:t xml:space="preserve"> </w:t>
      </w:r>
      <w:r>
        <w:t>установ – 1 133 000 грн.</w:t>
      </w:r>
    </w:p>
    <w:p w:rsidR="00DC759F" w:rsidRDefault="00DC759F" w:rsidP="00DC759F">
      <w:pPr>
        <w:pStyle w:val="11"/>
        <w:ind w:left="1140" w:firstLine="0"/>
        <w:jc w:val="both"/>
      </w:pPr>
    </w:p>
    <w:p w:rsidR="00DC759F" w:rsidRDefault="00DC759F" w:rsidP="00DC759F">
      <w:pPr>
        <w:pStyle w:val="11"/>
        <w:ind w:left="1140" w:firstLine="0"/>
        <w:jc w:val="both"/>
      </w:pPr>
      <w:r>
        <w:t>- Офіційні</w:t>
      </w:r>
      <w:r>
        <w:rPr>
          <w:lang w:val="uk-UA"/>
        </w:rPr>
        <w:t> трансферти 55</w:t>
      </w:r>
      <w:r>
        <w:t> 694 360 грн  у т.ч.:</w:t>
      </w:r>
    </w:p>
    <w:p w:rsidR="00DC759F" w:rsidRDefault="00DC759F" w:rsidP="00DC759F">
      <w:pPr>
        <w:pStyle w:val="11"/>
        <w:tabs>
          <w:tab w:val="left" w:pos="1412"/>
        </w:tabs>
        <w:ind w:left="216" w:firstLine="0"/>
        <w:jc w:val="both"/>
      </w:pPr>
      <w:r>
        <w:t>субвенції з державного бюджету місцевим бюджетам – 53 150 600 грн,</w:t>
      </w:r>
    </w:p>
    <w:p w:rsidR="00DC759F" w:rsidRDefault="00DC759F" w:rsidP="00DC759F">
      <w:pPr>
        <w:pStyle w:val="11"/>
        <w:ind w:left="1140" w:firstLine="0"/>
        <w:jc w:val="both"/>
      </w:pPr>
      <w:r>
        <w:t>субвенції з місцевих</w:t>
      </w:r>
      <w:r>
        <w:rPr>
          <w:lang w:val="uk-UA"/>
        </w:rPr>
        <w:t xml:space="preserve"> </w:t>
      </w:r>
      <w:r>
        <w:t>бюджетів</w:t>
      </w:r>
      <w:r>
        <w:rPr>
          <w:lang w:val="uk-UA"/>
        </w:rPr>
        <w:t xml:space="preserve"> </w:t>
      </w:r>
      <w:r>
        <w:t>іншим</w:t>
      </w:r>
      <w:r>
        <w:rPr>
          <w:lang w:val="uk-UA"/>
        </w:rPr>
        <w:t xml:space="preserve"> </w:t>
      </w:r>
      <w:r>
        <w:t>місцевим  бюджетам –2 543 760 грн.</w:t>
      </w:r>
    </w:p>
    <w:p w:rsidR="00DC759F" w:rsidRDefault="00DC759F" w:rsidP="00DC759F">
      <w:pPr>
        <w:pStyle w:val="11"/>
        <w:ind w:left="1140" w:firstLine="0"/>
        <w:jc w:val="both"/>
        <w:rPr>
          <w:highlight w:val="yellow"/>
        </w:rPr>
      </w:pPr>
    </w:p>
    <w:p w:rsidR="00DC759F" w:rsidRDefault="00DC759F" w:rsidP="00DC759F">
      <w:pPr>
        <w:pStyle w:val="11"/>
        <w:ind w:left="580" w:firstLine="560"/>
        <w:jc w:val="both"/>
      </w:pPr>
      <w:r>
        <w:t>Обсяг</w:t>
      </w:r>
      <w:r>
        <w:rPr>
          <w:lang w:val="uk-UA"/>
        </w:rPr>
        <w:t xml:space="preserve"> </w:t>
      </w:r>
      <w:r>
        <w:t>дохідної</w:t>
      </w:r>
      <w:r>
        <w:rPr>
          <w:lang w:val="uk-UA"/>
        </w:rPr>
        <w:t xml:space="preserve"> </w:t>
      </w:r>
      <w:r>
        <w:t xml:space="preserve">частини бюджету </w:t>
      </w:r>
      <w:r>
        <w:rPr>
          <w:lang w:val="uk-UA"/>
        </w:rPr>
        <w:t>Голованівської селищної ради</w:t>
      </w:r>
      <w:r>
        <w:t xml:space="preserve"> на </w:t>
      </w:r>
      <w:r>
        <w:rPr>
          <w:b/>
        </w:rPr>
        <w:lastRenderedPageBreak/>
        <w:t>2024</w:t>
      </w:r>
      <w:r>
        <w:rPr>
          <w:b/>
          <w:lang w:val="uk-UA"/>
        </w:rPr>
        <w:t xml:space="preserve"> </w:t>
      </w:r>
      <w:r>
        <w:t>рік</w:t>
      </w:r>
      <w:r>
        <w:rPr>
          <w:lang w:val="uk-UA"/>
        </w:rPr>
        <w:t xml:space="preserve"> </w:t>
      </w:r>
      <w:r>
        <w:t>прогнозується в сумі 173 600 808 грн, із них:</w:t>
      </w:r>
    </w:p>
    <w:p w:rsidR="00DC759F" w:rsidRDefault="00DC759F" w:rsidP="00DC759F">
      <w:pPr>
        <w:pStyle w:val="11"/>
        <w:numPr>
          <w:ilvl w:val="0"/>
          <w:numId w:val="11"/>
        </w:numPr>
        <w:tabs>
          <w:tab w:val="left" w:pos="1423"/>
        </w:tabs>
        <w:ind w:left="580" w:firstLine="560"/>
        <w:jc w:val="both"/>
      </w:pPr>
      <w:r>
        <w:t>Доходи (без урахування</w:t>
      </w:r>
      <w:r>
        <w:rPr>
          <w:lang w:val="uk-UA"/>
        </w:rPr>
        <w:t xml:space="preserve"> </w:t>
      </w:r>
      <w:r>
        <w:t>міжбюджетних</w:t>
      </w:r>
      <w:r>
        <w:rPr>
          <w:lang w:val="uk-UA"/>
        </w:rPr>
        <w:t xml:space="preserve"> </w:t>
      </w:r>
      <w:r>
        <w:t>трансфертів) – 113 963 511 грн, в т.ч.:</w:t>
      </w:r>
    </w:p>
    <w:p w:rsidR="00DC759F" w:rsidRDefault="00DC759F" w:rsidP="00DC759F">
      <w:pPr>
        <w:pStyle w:val="11"/>
        <w:ind w:left="1140" w:firstLine="0"/>
        <w:jc w:val="both"/>
      </w:pPr>
      <w:r>
        <w:t>Податкові</w:t>
      </w:r>
      <w:r>
        <w:rPr>
          <w:lang w:val="uk-UA"/>
        </w:rPr>
        <w:t xml:space="preserve"> </w:t>
      </w:r>
      <w:r>
        <w:t>надходження – 111 783 311 грн,</w:t>
      </w:r>
    </w:p>
    <w:p w:rsidR="00DC759F" w:rsidRDefault="00DC759F" w:rsidP="00DC759F">
      <w:pPr>
        <w:pStyle w:val="11"/>
        <w:ind w:left="1140" w:firstLine="0"/>
        <w:jc w:val="both"/>
      </w:pPr>
      <w:r>
        <w:t>Неподаткові</w:t>
      </w:r>
      <w:r>
        <w:rPr>
          <w:lang w:val="uk-UA"/>
        </w:rPr>
        <w:t xml:space="preserve"> </w:t>
      </w:r>
      <w:r>
        <w:t>надходження – 966 200 грн,</w:t>
      </w:r>
    </w:p>
    <w:p w:rsidR="00DC759F" w:rsidRDefault="00DC759F" w:rsidP="00DC759F">
      <w:pPr>
        <w:pStyle w:val="11"/>
        <w:ind w:left="1140" w:firstLine="0"/>
        <w:jc w:val="both"/>
      </w:pPr>
      <w:r>
        <w:t>Доходи від</w:t>
      </w:r>
      <w:r>
        <w:rPr>
          <w:lang w:val="uk-UA"/>
        </w:rPr>
        <w:t xml:space="preserve"> </w:t>
      </w:r>
      <w:r>
        <w:t>операцій з капіталом —</w:t>
      </w:r>
      <w:r w:rsidR="005C328A">
        <w:rPr>
          <w:lang w:val="uk-UA"/>
        </w:rPr>
        <w:t>3</w:t>
      </w:r>
      <w:r>
        <w:t>000 грн,</w:t>
      </w:r>
    </w:p>
    <w:p w:rsidR="00DC759F" w:rsidRDefault="00DC759F" w:rsidP="00DC759F">
      <w:pPr>
        <w:pStyle w:val="11"/>
        <w:ind w:left="1140" w:firstLine="0"/>
        <w:jc w:val="both"/>
      </w:pPr>
      <w:r>
        <w:t>Власні</w:t>
      </w:r>
      <w:r>
        <w:rPr>
          <w:lang w:val="uk-UA"/>
        </w:rPr>
        <w:t xml:space="preserve"> </w:t>
      </w:r>
      <w:r>
        <w:t>надходження</w:t>
      </w:r>
      <w:r>
        <w:rPr>
          <w:lang w:val="uk-UA"/>
        </w:rPr>
        <w:t xml:space="preserve"> </w:t>
      </w:r>
      <w:r>
        <w:t>бюджетних</w:t>
      </w:r>
      <w:r>
        <w:rPr>
          <w:lang w:val="uk-UA"/>
        </w:rPr>
        <w:t xml:space="preserve"> </w:t>
      </w:r>
      <w:r>
        <w:t>установ – 1 211 000 грн.</w:t>
      </w:r>
    </w:p>
    <w:p w:rsidR="00DC759F" w:rsidRDefault="00DC759F" w:rsidP="00DC759F">
      <w:pPr>
        <w:pStyle w:val="11"/>
        <w:ind w:left="1140" w:firstLine="0"/>
        <w:jc w:val="both"/>
      </w:pPr>
    </w:p>
    <w:p w:rsidR="00DC759F" w:rsidRDefault="00DC759F" w:rsidP="00DC759F">
      <w:pPr>
        <w:pStyle w:val="11"/>
        <w:ind w:left="1140" w:firstLine="0"/>
        <w:jc w:val="both"/>
      </w:pPr>
      <w:r>
        <w:t>- Офіційні</w:t>
      </w:r>
      <w:r>
        <w:rPr>
          <w:lang w:val="uk-UA"/>
        </w:rPr>
        <w:t xml:space="preserve"> </w:t>
      </w:r>
      <w:r>
        <w:t>трансферти</w:t>
      </w:r>
      <w:r>
        <w:rPr>
          <w:lang w:val="uk-UA"/>
        </w:rPr>
        <w:t xml:space="preserve"> </w:t>
      </w:r>
      <w:r>
        <w:t>59 637 297 грн у т.ч.:</w:t>
      </w:r>
    </w:p>
    <w:p w:rsidR="00DC759F" w:rsidRDefault="00DC759F" w:rsidP="00DC759F">
      <w:pPr>
        <w:pStyle w:val="11"/>
        <w:tabs>
          <w:tab w:val="left" w:pos="1412"/>
        </w:tabs>
        <w:ind w:left="216" w:firstLine="0"/>
        <w:jc w:val="both"/>
      </w:pPr>
      <w:r>
        <w:t>субвенції з державного бюджету місцевим бюджетам – 56 777 600 грн,</w:t>
      </w:r>
    </w:p>
    <w:p w:rsidR="00DC759F" w:rsidRDefault="00DC759F" w:rsidP="00DC759F">
      <w:pPr>
        <w:pStyle w:val="11"/>
        <w:ind w:left="1140" w:firstLine="0"/>
        <w:jc w:val="both"/>
      </w:pPr>
      <w:r>
        <w:t>субвенції з місцевих</w:t>
      </w:r>
      <w:r>
        <w:rPr>
          <w:lang w:val="uk-UA"/>
        </w:rPr>
        <w:t xml:space="preserve"> </w:t>
      </w:r>
      <w:r>
        <w:t>бюджетів</w:t>
      </w:r>
      <w:r>
        <w:rPr>
          <w:lang w:val="uk-UA"/>
        </w:rPr>
        <w:t xml:space="preserve"> </w:t>
      </w:r>
      <w:r>
        <w:t>іншим</w:t>
      </w:r>
      <w:r>
        <w:rPr>
          <w:lang w:val="uk-UA"/>
        </w:rPr>
        <w:t xml:space="preserve"> </w:t>
      </w:r>
      <w:r>
        <w:t>місцевим  бюджетам –2 859 697 грн.</w:t>
      </w:r>
    </w:p>
    <w:p w:rsidR="00DC759F" w:rsidRDefault="00DC759F" w:rsidP="00DC759F">
      <w:pPr>
        <w:pStyle w:val="11"/>
        <w:ind w:left="580" w:firstLine="560"/>
        <w:jc w:val="both"/>
      </w:pPr>
    </w:p>
    <w:p w:rsidR="00044C56" w:rsidRPr="006D7F18" w:rsidRDefault="00044C56" w:rsidP="006D7F18">
      <w:pPr>
        <w:pStyle w:val="ab"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1C5EF5" w:rsidRPr="001C5EF5" w:rsidRDefault="001C5EF5" w:rsidP="001C5EF5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ind w:left="1495" w:right="230"/>
        <w:jc w:val="left"/>
        <w:rPr>
          <w:b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DC759F">
        <w:rPr>
          <w:sz w:val="28"/>
          <w:szCs w:val="28"/>
        </w:rPr>
        <w:t>Показники фінансування селищного бюджету, показники місцевого боргу та надання місцевих гарантій</w:t>
      </w:r>
    </w:p>
    <w:p w:rsidR="00DC759F" w:rsidRDefault="00DC759F" w:rsidP="001C5EF5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ind w:left="720" w:right="230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(додаток 3, додаток 5)</w:t>
      </w:r>
    </w:p>
    <w:p w:rsidR="001C5EF5" w:rsidRPr="001C5EF5" w:rsidRDefault="001C5EF5" w:rsidP="001C5EF5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ind w:left="720" w:right="230"/>
        <w:jc w:val="both"/>
        <w:rPr>
          <w:sz w:val="28"/>
          <w:szCs w:val="28"/>
          <w:lang w:val="ru-RU"/>
        </w:rPr>
      </w:pPr>
    </w:p>
    <w:p w:rsidR="00DC759F" w:rsidRDefault="00DC759F" w:rsidP="00DC759F">
      <w:pPr>
        <w:pStyle w:val="western"/>
        <w:shd w:val="clear" w:color="auto" w:fill="FFFFFF"/>
        <w:spacing w:before="0" w:beforeAutospacing="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стадії планування та в ході внесення змін до селищного бюджету згідно з положеннями Бюджетного кодексу України в бюджеті Голованівської  селищної ради можуть виникати: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дефіцит за загальним фондом у разі використання вільного залишку бюджетних коштів;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профіцит за загальним фондом у разі спрямування до бюджету розвитку коштів із загального фонду бюджету;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- дефіцит за спеціальним фондом у разі залучення до бюджету розвитку  коштів із загального фонду бюджету, а також у разі використання залишків коштів спеціального фонду бюджету Голованівської селищної ради, крім власних надходжень бюджетних установ.</w:t>
      </w:r>
    </w:p>
    <w:p w:rsidR="00DC759F" w:rsidRDefault="00DC759F" w:rsidP="00DC759F">
      <w:pPr>
        <w:pStyle w:val="ae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Надходження та витрати с</w:t>
      </w:r>
      <w:r>
        <w:rPr>
          <w:sz w:val="28"/>
          <w:szCs w:val="28"/>
          <w:lang w:val="ru-RU"/>
        </w:rPr>
        <w:t>елищного</w:t>
      </w:r>
      <w:r>
        <w:rPr>
          <w:sz w:val="28"/>
          <w:szCs w:val="28"/>
        </w:rPr>
        <w:t xml:space="preserve"> бюджету збалансовано.</w:t>
      </w:r>
    </w:p>
    <w:p w:rsidR="00DC759F" w:rsidRDefault="00DC759F" w:rsidP="00DC759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rvts29"/>
          <w:rFonts w:ascii="Times New Roman" w:hAnsi="Times New Roman"/>
          <w:sz w:val="28"/>
          <w:szCs w:val="28"/>
        </w:rPr>
        <w:t>Конкретні показники обсягу видатків на 2022-2023 роки будуть уточнюватися залежно від реальних можливостей бюджету на відповідні роки.</w:t>
      </w:r>
    </w:p>
    <w:p w:rsidR="00DC759F" w:rsidRDefault="00DC759F" w:rsidP="00DC759F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5EF5" w:rsidRDefault="00DC759F" w:rsidP="001C5EF5">
      <w:pPr>
        <w:pStyle w:val="1"/>
        <w:numPr>
          <w:ilvl w:val="0"/>
          <w:numId w:val="13"/>
        </w:numPr>
        <w:tabs>
          <w:tab w:val="left" w:pos="1395"/>
        </w:tabs>
        <w:ind w:right="0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Показники видатків селищного бюджету </w:t>
      </w:r>
    </w:p>
    <w:p w:rsidR="00DC759F" w:rsidRDefault="00DC759F" w:rsidP="0017722A">
      <w:pPr>
        <w:pStyle w:val="1"/>
        <w:tabs>
          <w:tab w:val="left" w:pos="1395"/>
        </w:tabs>
        <w:ind w:left="1394" w:righ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(додаток 6, додаток 7)</w:t>
      </w:r>
    </w:p>
    <w:p w:rsidR="00DC759F" w:rsidRDefault="00DC759F" w:rsidP="00DC759F">
      <w:pPr>
        <w:pStyle w:val="1"/>
        <w:tabs>
          <w:tab w:val="left" w:pos="1395"/>
        </w:tabs>
        <w:ind w:left="1394" w:right="0"/>
        <w:jc w:val="both"/>
        <w:rPr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ind w:right="229" w:firstLine="48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Ключовим завданням бюджетної політики залишатиметься забезпечення макроекономічної стабільності, стійкості та збалансованості бюджетної системи</w:t>
      </w:r>
      <w:r>
        <w:rPr>
          <w:rFonts w:ascii="Times New Roman" w:hAnsi="Times New Roman"/>
          <w:spacing w:val="1"/>
          <w:sz w:val="28"/>
          <w:szCs w:val="28"/>
          <w:lang w:val="uk-UA"/>
        </w:rPr>
        <w:t>, ф</w:t>
      </w:r>
      <w:r>
        <w:rPr>
          <w:rFonts w:ascii="Times New Roman" w:hAnsi="Times New Roman"/>
          <w:sz w:val="28"/>
          <w:szCs w:val="28"/>
          <w:lang w:val="uk-UA"/>
        </w:rPr>
        <w:t>інансування бюджетних видатків на період 2022-2024 років. В цих умовах визначальним стане підвищення ефективності та результативності видатків, що відбуватиметься на основі їх пріоритетності та оцінки ступеня досягнення очікуваних результатів.</w:t>
      </w:r>
    </w:p>
    <w:p w:rsidR="00DC759F" w:rsidRDefault="00DC759F" w:rsidP="00DC759F">
      <w:pPr>
        <w:pStyle w:val="11"/>
        <w:ind w:left="580" w:firstLine="560"/>
        <w:jc w:val="both"/>
      </w:pPr>
      <w:r>
        <w:t>Обсяг</w:t>
      </w:r>
      <w:r>
        <w:rPr>
          <w:lang w:val="uk-UA"/>
        </w:rPr>
        <w:t xml:space="preserve"> </w:t>
      </w:r>
      <w:r>
        <w:t>видаткової</w:t>
      </w:r>
      <w:r>
        <w:rPr>
          <w:lang w:val="uk-UA"/>
        </w:rPr>
        <w:t xml:space="preserve"> </w:t>
      </w:r>
      <w:r>
        <w:t xml:space="preserve">частини бюджету </w:t>
      </w:r>
      <w:r>
        <w:rPr>
          <w:lang w:val="uk-UA"/>
        </w:rPr>
        <w:t>Голованівської селищної ради</w:t>
      </w:r>
      <w:r>
        <w:t xml:space="preserve"> на </w:t>
      </w:r>
      <w:r>
        <w:rPr>
          <w:b/>
        </w:rPr>
        <w:t xml:space="preserve">2022 </w:t>
      </w:r>
      <w:r>
        <w:t>рік</w:t>
      </w:r>
      <w:r>
        <w:rPr>
          <w:lang w:val="uk-UA"/>
        </w:rPr>
        <w:t xml:space="preserve"> </w:t>
      </w:r>
      <w:r>
        <w:t>прогнозується в сумі</w:t>
      </w:r>
      <w:r>
        <w:rPr>
          <w:lang w:val="uk-UA"/>
        </w:rPr>
        <w:t xml:space="preserve"> </w:t>
      </w:r>
      <w:r>
        <w:t xml:space="preserve">146 687 570 грн,  в тому числі по </w:t>
      </w:r>
      <w:r>
        <w:lastRenderedPageBreak/>
        <w:t xml:space="preserve">загальному фонду – 145 519 170 грн, по спеціальному фонду 1 168 400 грн. </w:t>
      </w:r>
    </w:p>
    <w:p w:rsidR="00DC759F" w:rsidRDefault="00DC759F" w:rsidP="00DC759F">
      <w:pPr>
        <w:pStyle w:val="11"/>
        <w:ind w:left="580" w:firstLine="560"/>
        <w:jc w:val="both"/>
      </w:pPr>
      <w:r>
        <w:t>Обсяг</w:t>
      </w:r>
      <w:r>
        <w:rPr>
          <w:lang w:val="uk-UA"/>
        </w:rPr>
        <w:t xml:space="preserve"> </w:t>
      </w:r>
      <w:r>
        <w:t>видаткової</w:t>
      </w:r>
      <w:r>
        <w:rPr>
          <w:lang w:val="uk-UA"/>
        </w:rPr>
        <w:t xml:space="preserve"> </w:t>
      </w:r>
      <w:r>
        <w:t xml:space="preserve">частини бюджету </w:t>
      </w:r>
      <w:r>
        <w:rPr>
          <w:lang w:val="uk-UA"/>
        </w:rPr>
        <w:t>Голованівської селищної ради</w:t>
      </w:r>
      <w:r>
        <w:t xml:space="preserve"> на </w:t>
      </w:r>
      <w:r>
        <w:rPr>
          <w:b/>
        </w:rPr>
        <w:t xml:space="preserve">2023 </w:t>
      </w:r>
      <w:r>
        <w:t>рік</w:t>
      </w:r>
      <w:r>
        <w:rPr>
          <w:lang w:val="uk-UA"/>
        </w:rPr>
        <w:t xml:space="preserve"> </w:t>
      </w:r>
      <w:r>
        <w:t xml:space="preserve">прогнозується в сумі 162 850 765 грн,  в тому числі по загальному фонду – 161 576 265 грн, по спеціальному фонду 1 274 500 грн. </w:t>
      </w:r>
    </w:p>
    <w:p w:rsidR="00DC759F" w:rsidRDefault="00DC759F" w:rsidP="00DC759F">
      <w:pPr>
        <w:pStyle w:val="11"/>
        <w:ind w:left="580" w:firstLine="560"/>
        <w:jc w:val="both"/>
      </w:pPr>
      <w:r>
        <w:t>Обсяг</w:t>
      </w:r>
      <w:r>
        <w:rPr>
          <w:lang w:val="uk-UA"/>
        </w:rPr>
        <w:t xml:space="preserve"> </w:t>
      </w:r>
      <w:r>
        <w:t>видаткової</w:t>
      </w:r>
      <w:r>
        <w:rPr>
          <w:lang w:val="uk-UA"/>
        </w:rPr>
        <w:t xml:space="preserve"> </w:t>
      </w:r>
      <w:r>
        <w:t xml:space="preserve">частини бюджету </w:t>
      </w:r>
      <w:r>
        <w:rPr>
          <w:lang w:val="uk-UA"/>
        </w:rPr>
        <w:t>Голованівської селищної ради</w:t>
      </w:r>
      <w:r>
        <w:t xml:space="preserve"> на </w:t>
      </w:r>
      <w:r>
        <w:rPr>
          <w:b/>
        </w:rPr>
        <w:t xml:space="preserve">2024 </w:t>
      </w:r>
      <w:r>
        <w:t>рік</w:t>
      </w:r>
      <w:r>
        <w:rPr>
          <w:lang w:val="uk-UA"/>
        </w:rPr>
        <w:t xml:space="preserve"> </w:t>
      </w:r>
      <w:r>
        <w:t xml:space="preserve">прогнозується в сумі 173 600 808 грн,  в тому числі по загальному фонду – 172 245 208 грн, по спеціальному фонду 1 355 600 грн. </w:t>
      </w:r>
    </w:p>
    <w:p w:rsidR="00DC759F" w:rsidRDefault="00DC759F" w:rsidP="00DC759F">
      <w:pPr>
        <w:pStyle w:val="ab"/>
        <w:spacing w:after="0" w:line="240" w:lineRule="auto"/>
        <w:ind w:right="229" w:firstLine="4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видами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sz w:val="28"/>
          <w:szCs w:val="28"/>
        </w:rPr>
        <w:t>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завданнями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бюджетної 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будуть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такі.</w:t>
      </w:r>
    </w:p>
    <w:p w:rsidR="00044C56" w:rsidRPr="006D7F18" w:rsidRDefault="00044C56" w:rsidP="006D7F18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DC759F">
      <w:pPr>
        <w:pStyle w:val="1"/>
        <w:ind w:right="2351"/>
        <w:jc w:val="both"/>
        <w:rPr>
          <w:sz w:val="28"/>
          <w:szCs w:val="28"/>
        </w:rPr>
      </w:pPr>
      <w:r>
        <w:rPr>
          <w:sz w:val="28"/>
          <w:szCs w:val="28"/>
        </w:rPr>
        <w:t>Органи місцевого самоврядування</w:t>
      </w:r>
    </w:p>
    <w:p w:rsidR="00DC759F" w:rsidRDefault="00DC759F" w:rsidP="00DC759F">
      <w:pPr>
        <w:pStyle w:val="1"/>
        <w:ind w:right="2351"/>
        <w:jc w:val="both"/>
        <w:rPr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ind w:right="234" w:firstLine="45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Пріоритетними завданнями апарату селищної ради та її виконавчих органів є забезпечення здійснення повноважень, наданих Конституцією України, Законами України «Про місцеве самоврядування в Україні», «Про службу в органах місцевого самоврядування» та іншими нормативно-правовими актами.</w:t>
      </w:r>
    </w:p>
    <w:p w:rsidR="00DC759F" w:rsidRDefault="00DC759F" w:rsidP="00DC759F">
      <w:pPr>
        <w:pStyle w:val="ab"/>
        <w:spacing w:after="0" w:line="240" w:lineRule="auto"/>
        <w:ind w:right="234" w:firstLine="45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59F" w:rsidRDefault="00DC759F" w:rsidP="00DC759F">
      <w:pPr>
        <w:pStyle w:val="1"/>
        <w:ind w:left="2591" w:right="2605"/>
        <w:rPr>
          <w:sz w:val="28"/>
          <w:szCs w:val="28"/>
        </w:rPr>
      </w:pPr>
      <w:r>
        <w:rPr>
          <w:sz w:val="28"/>
          <w:szCs w:val="28"/>
        </w:rPr>
        <w:t>Освіта</w:t>
      </w:r>
    </w:p>
    <w:p w:rsidR="00DC759F" w:rsidRDefault="00DC759F" w:rsidP="00DC759F">
      <w:pPr>
        <w:pStyle w:val="1"/>
        <w:ind w:left="2591" w:right="2605"/>
        <w:jc w:val="both"/>
        <w:rPr>
          <w:sz w:val="28"/>
          <w:szCs w:val="28"/>
        </w:rPr>
      </w:pPr>
    </w:p>
    <w:p w:rsidR="00DC759F" w:rsidRP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pacing w:val="1"/>
          <w:sz w:val="28"/>
          <w:szCs w:val="28"/>
          <w:lang w:val="uk-UA"/>
        </w:rPr>
      </w:pPr>
      <w:r w:rsidRPr="00DC759F">
        <w:rPr>
          <w:rFonts w:ascii="Times New Roman" w:hAnsi="Times New Roman"/>
          <w:sz w:val="28"/>
          <w:szCs w:val="28"/>
          <w:lang w:val="uk-UA"/>
        </w:rPr>
        <w:t>Пріоритетом розвитку галузі освіти буде забезпечення доступності високоякісної освіти для всіх громадян об’єднаної громади незалежно від місця їх проживання.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2022-2024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роках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передбачається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здійснити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заходи:</w:t>
      </w:r>
    </w:p>
    <w:p w:rsidR="00DC759F" w:rsidRP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  <w:lang w:val="uk-UA"/>
        </w:rPr>
      </w:pPr>
      <w:r w:rsidRPr="00DC759F">
        <w:rPr>
          <w:rFonts w:ascii="Times New Roman" w:hAnsi="Times New Roman"/>
          <w:sz w:val="28"/>
          <w:szCs w:val="28"/>
          <w:lang w:val="uk-UA"/>
        </w:rPr>
        <w:t>- розвиток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підтримка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обдарованою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талановитою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молоддю,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різнобічний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759F">
        <w:rPr>
          <w:rFonts w:ascii="Times New Roman" w:hAnsi="Times New Roman"/>
          <w:sz w:val="28"/>
          <w:szCs w:val="28"/>
          <w:lang w:val="uk-UA"/>
        </w:rPr>
        <w:t>розвиток індивідуальності дитини, її задатків і здібностей;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створення належних умов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здобуття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високоякісної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освіти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дітьми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сиротами,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дітьми,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позбавленими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батьківського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піклування,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  </w:t>
      </w:r>
      <w:r>
        <w:rPr>
          <w:rFonts w:ascii="Times New Roman" w:hAnsi="Times New Roman"/>
          <w:sz w:val="28"/>
          <w:szCs w:val="28"/>
        </w:rPr>
        <w:t>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престижу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статусу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працівників,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стимулювання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активної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вчителів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 становленні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освіти,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популяризації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кращих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здобутків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професійної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майстерності;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 упровадження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сприятливого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середовища,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спрямованого на збереження здоров’я учнів;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07D11">
        <w:rPr>
          <w:rFonts w:ascii="Times New Roman" w:hAnsi="Times New Roman"/>
          <w:sz w:val="28"/>
          <w:szCs w:val="28"/>
        </w:rPr>
        <w:t xml:space="preserve">модернізація матеріально-технічної </w:t>
      </w:r>
      <w:r w:rsidR="00007D11" w:rsidRPr="00007D11">
        <w:rPr>
          <w:rFonts w:ascii="Times New Roman" w:hAnsi="Times New Roman"/>
          <w:sz w:val="28"/>
          <w:szCs w:val="28"/>
        </w:rPr>
        <w:t xml:space="preserve">бази </w:t>
      </w:r>
      <w:r w:rsidRPr="00007D11">
        <w:rPr>
          <w:rFonts w:ascii="Times New Roman" w:hAnsi="Times New Roman"/>
          <w:sz w:val="28"/>
          <w:szCs w:val="28"/>
        </w:rPr>
        <w:t>загальноосвітніх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07D11">
        <w:rPr>
          <w:rFonts w:ascii="Times New Roman" w:hAnsi="Times New Roman"/>
          <w:sz w:val="28"/>
          <w:szCs w:val="28"/>
        </w:rPr>
        <w:t>навчальних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>закладів,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>підвищення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>якості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>освіти;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планується досягти, є:</w:t>
      </w:r>
    </w:p>
    <w:p w:rsidR="00DC759F" w:rsidRDefault="00DC759F" w:rsidP="00DC759F">
      <w:pPr>
        <w:pStyle w:val="ab"/>
        <w:spacing w:after="0" w:line="240" w:lineRule="auto"/>
        <w:ind w:right="2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збільшення рівня охоплення дітей дошкільною освітою;</w:t>
      </w:r>
    </w:p>
    <w:p w:rsidR="00DC759F" w:rsidRDefault="00DC759F" w:rsidP="00DC759F">
      <w:pPr>
        <w:pStyle w:val="ab"/>
        <w:spacing w:after="0" w:line="240" w:lineRule="auto"/>
        <w:ind w:right="22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- 100-відсоткове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охоплення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повною</w:t>
      </w:r>
      <w:r>
        <w:rPr>
          <w:rFonts w:ascii="Times New Roman" w:hAnsi="Times New Roman"/>
          <w:sz w:val="28"/>
          <w:szCs w:val="28"/>
          <w:lang w:val="uk-UA"/>
        </w:rPr>
        <w:t> загальною середньою </w:t>
      </w:r>
      <w:r>
        <w:rPr>
          <w:rFonts w:ascii="Times New Roman" w:hAnsi="Times New Roman"/>
          <w:sz w:val="28"/>
          <w:szCs w:val="28"/>
        </w:rPr>
        <w:t>освітою;</w:t>
      </w:r>
    </w:p>
    <w:p w:rsidR="00DC759F" w:rsidRDefault="00DC759F" w:rsidP="00DC759F">
      <w:pPr>
        <w:pStyle w:val="ab"/>
        <w:spacing w:after="0" w:line="240" w:lineRule="auto"/>
        <w:ind w:right="22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007D11">
        <w:rPr>
          <w:rFonts w:ascii="Times New Roman" w:hAnsi="Times New Roman"/>
          <w:sz w:val="28"/>
          <w:szCs w:val="28"/>
        </w:rPr>
        <w:t>підвищення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 xml:space="preserve">рівня забезпечення закладів </w:t>
      </w:r>
      <w:r w:rsidR="00007D11" w:rsidRPr="00007D11">
        <w:rPr>
          <w:rFonts w:ascii="Times New Roman" w:hAnsi="Times New Roman"/>
          <w:sz w:val="28"/>
          <w:szCs w:val="28"/>
        </w:rPr>
        <w:t>осв</w:t>
      </w:r>
      <w:r w:rsidR="00007D11" w:rsidRPr="00007D11">
        <w:rPr>
          <w:rFonts w:ascii="Times New Roman" w:hAnsi="Times New Roman"/>
          <w:sz w:val="28"/>
          <w:szCs w:val="28"/>
          <w:lang w:val="uk-UA"/>
        </w:rPr>
        <w:t xml:space="preserve">іти </w:t>
      </w:r>
      <w:r w:rsidRPr="00007D11">
        <w:rPr>
          <w:rFonts w:ascii="Times New Roman" w:hAnsi="Times New Roman"/>
          <w:sz w:val="28"/>
          <w:szCs w:val="28"/>
        </w:rPr>
        <w:t>сучасними комп'ютерними</w:t>
      </w:r>
      <w:r w:rsidRPr="00007D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7D11">
        <w:rPr>
          <w:rFonts w:ascii="Times New Roman" w:hAnsi="Times New Roman"/>
          <w:sz w:val="28"/>
          <w:szCs w:val="28"/>
        </w:rPr>
        <w:t>комплексами;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505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сприятливих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якісного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харчування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учнів;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505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інформаційної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компетентності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учасників</w:t>
      </w:r>
      <w:r>
        <w:rPr>
          <w:rFonts w:ascii="Times New Roman" w:hAnsi="Times New Roman"/>
          <w:sz w:val="28"/>
          <w:szCs w:val="28"/>
          <w:lang w:val="uk-UA"/>
        </w:rPr>
        <w:t xml:space="preserve"> освітнього </w:t>
      </w:r>
      <w:r>
        <w:rPr>
          <w:rFonts w:ascii="Times New Roman" w:hAnsi="Times New Roman"/>
          <w:sz w:val="28"/>
          <w:szCs w:val="28"/>
        </w:rPr>
        <w:t>процесу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 xml:space="preserve">відповідність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>
        <w:rPr>
          <w:rFonts w:ascii="Times New Roman" w:hAnsi="Times New Roman"/>
          <w:sz w:val="28"/>
          <w:szCs w:val="28"/>
        </w:rPr>
        <w:t xml:space="preserve"> сучасни</w:t>
      </w:r>
      <w:r>
        <w:rPr>
          <w:rFonts w:ascii="Times New Roman" w:hAnsi="Times New Roman"/>
          <w:sz w:val="28"/>
          <w:szCs w:val="28"/>
          <w:lang w:val="uk-UA"/>
        </w:rPr>
        <w:t>х</w:t>
      </w:r>
      <w:r>
        <w:rPr>
          <w:rFonts w:ascii="Times New Roman" w:hAnsi="Times New Roman"/>
          <w:sz w:val="28"/>
          <w:szCs w:val="28"/>
        </w:rPr>
        <w:t xml:space="preserve"> вимог;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505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якості надання освітніх послуг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здібним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обдарованим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учням;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505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статусу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педагогічних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працівників,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високі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досягнення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учнівською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722A">
        <w:rPr>
          <w:rFonts w:ascii="Times New Roman" w:hAnsi="Times New Roman"/>
          <w:sz w:val="28"/>
          <w:szCs w:val="28"/>
        </w:rPr>
        <w:t>молоддю.</w:t>
      </w:r>
    </w:p>
    <w:p w:rsidR="0017722A" w:rsidRDefault="0017722A" w:rsidP="0017722A">
      <w:pPr>
        <w:pStyle w:val="a6"/>
        <w:widowControl w:val="0"/>
        <w:tabs>
          <w:tab w:val="left" w:pos="505"/>
        </w:tabs>
        <w:autoSpaceDE w:val="0"/>
        <w:autoSpaceDN w:val="0"/>
        <w:spacing w:after="0" w:line="240" w:lineRule="auto"/>
        <w:ind w:left="216" w:right="228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007D11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</w:rPr>
        <w:t>Охорона здоров’я</w:t>
      </w:r>
    </w:p>
    <w:p w:rsidR="0017722A" w:rsidRPr="0017722A" w:rsidRDefault="0017722A" w:rsidP="00DC759F">
      <w:pPr>
        <w:pStyle w:val="1"/>
        <w:jc w:val="both"/>
        <w:rPr>
          <w:sz w:val="28"/>
          <w:szCs w:val="28"/>
          <w:lang w:val="ru-RU"/>
        </w:rPr>
      </w:pPr>
    </w:p>
    <w:p w:rsidR="00DC759F" w:rsidRDefault="00DC759F" w:rsidP="00DC759F">
      <w:pPr>
        <w:pStyle w:val="ab"/>
        <w:spacing w:after="0" w:line="240" w:lineRule="auto"/>
        <w:ind w:right="230" w:firstLine="647"/>
        <w:jc w:val="both"/>
        <w:rPr>
          <w:rFonts w:ascii="Times New Roman" w:hAnsi="Times New Roman"/>
          <w:spacing w:val="8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Пріоритетами розвитку галузі будуть забезпечення рівного і справедливого доступу населення до медичних послуг належної якості, запобігання та зниження рівня захворюваності, а також створення сприятливих для здоров’я умов життєдіяльності людини.</w:t>
      </w:r>
    </w:p>
    <w:p w:rsidR="00DC759F" w:rsidRDefault="00DC759F" w:rsidP="00DC759F">
      <w:pPr>
        <w:pStyle w:val="ab"/>
        <w:spacing w:after="0" w:line="240" w:lineRule="auto"/>
        <w:ind w:right="230" w:firstLine="64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2022-2024 роках передбачається здійснити такі заходи:</w:t>
      </w:r>
    </w:p>
    <w:p w:rsidR="00DC759F" w:rsidRDefault="00DC759F" w:rsidP="00007D11">
      <w:pPr>
        <w:pStyle w:val="ab"/>
        <w:numPr>
          <w:ilvl w:val="0"/>
          <w:numId w:val="12"/>
        </w:numPr>
        <w:spacing w:after="0" w:line="240" w:lineRule="auto"/>
        <w:ind w:right="22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оптимізація мережі закладів з урахуванням демографічних і економічних реалій; 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387"/>
        </w:tabs>
        <w:autoSpaceDE w:val="0"/>
        <w:autoSpaceDN w:val="0"/>
        <w:spacing w:after="0" w:line="240" w:lineRule="auto"/>
        <w:ind w:right="227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здоров’я населення, забезпечення рівного і справедливого доступу всіх членів громади до медичних послуг належної якості;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387"/>
        </w:tabs>
        <w:autoSpaceDE w:val="0"/>
        <w:autoSpaceDN w:val="0"/>
        <w:spacing w:after="0" w:line="240" w:lineRule="auto"/>
        <w:ind w:right="2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ефективності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охорони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здоров’я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387"/>
        </w:tabs>
        <w:autoSpaceDE w:val="0"/>
        <w:autoSpaceDN w:val="0"/>
        <w:spacing w:after="0" w:line="240" w:lineRule="auto"/>
        <w:ind w:right="2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посилення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профілактичної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запровадження її нових форм;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387"/>
        </w:tabs>
        <w:autoSpaceDE w:val="0"/>
        <w:autoSpaceDN w:val="0"/>
        <w:spacing w:after="0" w:line="240" w:lineRule="auto"/>
        <w:ind w:right="2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 – технічної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бази закладів охорони здоров’я;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387"/>
        </w:tabs>
        <w:autoSpaceDE w:val="0"/>
        <w:autoSpaceDN w:val="0"/>
        <w:spacing w:after="0" w:line="240" w:lineRule="auto"/>
        <w:ind w:right="22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закладів охорони здоров'я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кваліфікованими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працівниками,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подальше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впровадження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заохочення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медичних працівників до роботи в закладах охорони здоров'я на території громади.</w:t>
      </w:r>
    </w:p>
    <w:p w:rsidR="00DC759F" w:rsidRDefault="00DC759F" w:rsidP="00DC759F">
      <w:pPr>
        <w:pStyle w:val="a6"/>
        <w:tabs>
          <w:tab w:val="left" w:pos="387"/>
        </w:tabs>
        <w:spacing w:after="0" w:line="240" w:lineRule="auto"/>
        <w:ind w:right="227"/>
        <w:jc w:val="both"/>
        <w:rPr>
          <w:rFonts w:ascii="Times New Roman" w:hAnsi="Times New Roman"/>
          <w:spacing w:val="1"/>
          <w:sz w:val="28"/>
          <w:szCs w:val="28"/>
        </w:rPr>
      </w:pPr>
    </w:p>
    <w:p w:rsidR="00DC759F" w:rsidRDefault="00DC759F" w:rsidP="00DC759F">
      <w:pPr>
        <w:pStyle w:val="a6"/>
        <w:tabs>
          <w:tab w:val="left" w:pos="387"/>
        </w:tabs>
        <w:spacing w:after="0" w:line="240" w:lineRule="auto"/>
        <w:ind w:righ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 результатами, яких планується досягти, є:</w:t>
      </w:r>
    </w:p>
    <w:p w:rsidR="00DC759F" w:rsidRDefault="00DC759F" w:rsidP="00DC759F">
      <w:pPr>
        <w:pStyle w:val="a6"/>
        <w:tabs>
          <w:tab w:val="left" w:pos="387"/>
        </w:tabs>
        <w:spacing w:after="0" w:line="240" w:lineRule="auto"/>
        <w:ind w:right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підвищення рівня медичного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обслуговування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розширення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можливості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доступності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якості.</w:t>
      </w:r>
    </w:p>
    <w:p w:rsidR="00DC759F" w:rsidRDefault="00DC759F" w:rsidP="00DC759F">
      <w:pPr>
        <w:pStyle w:val="a6"/>
        <w:tabs>
          <w:tab w:val="left" w:pos="387"/>
        </w:tabs>
        <w:spacing w:after="0" w:line="240" w:lineRule="auto"/>
        <w:ind w:right="227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17722A">
      <w:pPr>
        <w:pStyle w:val="1"/>
        <w:ind w:left="1560" w:hanging="284"/>
        <w:rPr>
          <w:sz w:val="28"/>
          <w:szCs w:val="28"/>
          <w:lang w:val="ru-RU"/>
        </w:rPr>
      </w:pPr>
      <w:r>
        <w:rPr>
          <w:sz w:val="28"/>
          <w:szCs w:val="28"/>
        </w:rPr>
        <w:t>Соціальний захист та соціальне забезпечення</w:t>
      </w:r>
    </w:p>
    <w:p w:rsidR="0017722A" w:rsidRPr="0017722A" w:rsidRDefault="0017722A" w:rsidP="0017722A">
      <w:pPr>
        <w:pStyle w:val="1"/>
        <w:ind w:left="1560" w:hanging="284"/>
        <w:rPr>
          <w:sz w:val="28"/>
          <w:szCs w:val="28"/>
          <w:lang w:val="ru-RU"/>
        </w:rPr>
      </w:pPr>
    </w:p>
    <w:p w:rsidR="00DC759F" w:rsidRDefault="00DC759F" w:rsidP="00DC759F">
      <w:pPr>
        <w:pStyle w:val="ab"/>
        <w:spacing w:after="0" w:line="240" w:lineRule="auto"/>
        <w:ind w:right="230" w:firstLine="583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Пріоритетними напрямками у галузі є забезпечення адресного характеру надання соціальної підтримки, підвищення рівня охоплення соціальною підтримкою незаможних верств населення при раціональному використанні бюджетних коштів, подальше реформування сфери надання соціальних послуг та соціального захисту. </w:t>
      </w:r>
      <w:r>
        <w:rPr>
          <w:rFonts w:ascii="Times New Roman" w:hAnsi="Times New Roman"/>
          <w:sz w:val="28"/>
          <w:szCs w:val="28"/>
        </w:rPr>
        <w:t>У2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022-2024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заходи:</w:t>
      </w:r>
    </w:p>
    <w:p w:rsidR="00DC759F" w:rsidRDefault="00DC759F" w:rsidP="00DC759F">
      <w:pPr>
        <w:pStyle w:val="ab"/>
        <w:spacing w:after="0" w:line="240" w:lineRule="auto"/>
        <w:ind w:right="230" w:firstLine="583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підвищення рівня соціального захисту малозабезпечених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верств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населення;</w:t>
      </w:r>
    </w:p>
    <w:p w:rsidR="00DC759F" w:rsidRDefault="00DC759F" w:rsidP="00DC759F">
      <w:pPr>
        <w:pStyle w:val="ab"/>
        <w:spacing w:after="0" w:line="240" w:lineRule="auto"/>
        <w:ind w:right="230" w:firstLine="5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захищеності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інвалідів,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сімей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дітьми,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незахищених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верств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населення;</w:t>
      </w:r>
    </w:p>
    <w:p w:rsidR="00DC759F" w:rsidRDefault="00DC759F" w:rsidP="00DC759F">
      <w:pPr>
        <w:pStyle w:val="ab"/>
        <w:spacing w:after="0" w:line="240" w:lineRule="auto"/>
        <w:ind w:right="230" w:firstLine="583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підвищення ефективності соціальної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сім’ями,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молоддю;</w:t>
      </w:r>
    </w:p>
    <w:p w:rsidR="00DC759F" w:rsidRDefault="00DC759F" w:rsidP="00DC759F">
      <w:pPr>
        <w:pStyle w:val="ab"/>
        <w:spacing w:after="0" w:line="240" w:lineRule="auto"/>
        <w:ind w:right="230" w:firstLine="5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права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дитини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сімейне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виховання,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сімейних форм виховання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дітей-сиріт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 дітей,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позбавлених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батьківського піклування.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409"/>
        </w:tabs>
        <w:autoSpaceDE w:val="0"/>
        <w:autoSpaceDN w:val="0"/>
        <w:spacing w:after="0" w:line="240" w:lineRule="auto"/>
        <w:ind w:right="23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надання матеріальної допомоги постраждалим та сім’ям загиблих (померлих) при виконанні службового обов’язку під час проведення антитерористичної операції, 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соціальної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учасникам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антитерористичної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операції;</w:t>
      </w:r>
    </w:p>
    <w:p w:rsidR="00DC759F" w:rsidRDefault="00DC759F" w:rsidP="00DC759F">
      <w:pPr>
        <w:pStyle w:val="a6"/>
        <w:tabs>
          <w:tab w:val="left" w:pos="409"/>
        </w:tabs>
        <w:spacing w:after="0" w:line="240" w:lineRule="auto"/>
        <w:ind w:right="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результатами, яких планується досягти, є:</w:t>
      </w:r>
    </w:p>
    <w:p w:rsidR="00DC759F" w:rsidRDefault="00DC759F" w:rsidP="00DC759F">
      <w:pPr>
        <w:pStyle w:val="a6"/>
        <w:tabs>
          <w:tab w:val="left" w:pos="409"/>
        </w:tabs>
        <w:spacing w:after="0" w:line="240" w:lineRule="auto"/>
        <w:ind w:right="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підвищення якості послуг закладів, що надають соціальні послуги особам, що опинилися у складних життєвих обставинах;</w:t>
      </w:r>
    </w:p>
    <w:p w:rsidR="00DC759F" w:rsidRDefault="00DC759F" w:rsidP="00DC759F">
      <w:pPr>
        <w:pStyle w:val="a6"/>
        <w:tabs>
          <w:tab w:val="left" w:pos="409"/>
        </w:tabs>
        <w:spacing w:after="0" w:line="240" w:lineRule="auto"/>
        <w:ind w:right="2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 поліпшення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незахищених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верств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населення.</w:t>
      </w:r>
    </w:p>
    <w:p w:rsidR="00DC759F" w:rsidRDefault="00DC759F" w:rsidP="006D7F18">
      <w:pPr>
        <w:pStyle w:val="1"/>
        <w:jc w:val="both"/>
        <w:rPr>
          <w:sz w:val="28"/>
          <w:szCs w:val="28"/>
          <w:lang w:val="ru-RU"/>
        </w:rPr>
      </w:pPr>
    </w:p>
    <w:p w:rsidR="00044C56" w:rsidRDefault="00044C56" w:rsidP="006D7F18">
      <w:pPr>
        <w:pStyle w:val="1"/>
        <w:jc w:val="both"/>
        <w:rPr>
          <w:sz w:val="28"/>
          <w:szCs w:val="28"/>
        </w:rPr>
      </w:pPr>
      <w:r w:rsidRPr="006D7F18">
        <w:rPr>
          <w:sz w:val="28"/>
          <w:szCs w:val="28"/>
        </w:rPr>
        <w:t>Культура</w:t>
      </w:r>
      <w:r w:rsidR="006D7F18" w:rsidRPr="006D7F18">
        <w:rPr>
          <w:sz w:val="28"/>
          <w:szCs w:val="28"/>
        </w:rPr>
        <w:t xml:space="preserve"> </w:t>
      </w:r>
      <w:r w:rsidRPr="006D7F18">
        <w:rPr>
          <w:sz w:val="28"/>
          <w:szCs w:val="28"/>
        </w:rPr>
        <w:t>та</w:t>
      </w:r>
      <w:r w:rsidR="006D7F18" w:rsidRPr="006D7F18">
        <w:rPr>
          <w:sz w:val="28"/>
          <w:szCs w:val="28"/>
        </w:rPr>
        <w:t xml:space="preserve"> </w:t>
      </w:r>
      <w:r w:rsidRPr="006D7F18">
        <w:rPr>
          <w:sz w:val="28"/>
          <w:szCs w:val="28"/>
        </w:rPr>
        <w:t>мистецтво</w:t>
      </w:r>
    </w:p>
    <w:p w:rsidR="00DC759F" w:rsidRPr="006D7F18" w:rsidRDefault="00DC759F" w:rsidP="006D7F18">
      <w:pPr>
        <w:pStyle w:val="1"/>
        <w:jc w:val="both"/>
        <w:rPr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Пріоритетом розвитку у цій сфері є забезпечення рівності прав та можливостей громадян у створенні, використанні, поширенні культурних цінностей;</w:t>
      </w:r>
    </w:p>
    <w:p w:rsidR="00DC759F" w:rsidRDefault="00DC759F" w:rsidP="00DC759F">
      <w:pPr>
        <w:pStyle w:val="ab"/>
        <w:spacing w:after="0" w:line="240" w:lineRule="auto"/>
        <w:ind w:right="228" w:firstLine="4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-оптимізація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мережі закладів з урахуванням демографічних і економічних реалій; 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збереження,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примноження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надбань;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творчого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особистості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підвищення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рівня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громадян.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заходи: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розвиток і 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національних традицій та звичаїв, нематеріальної культурної спадщини;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ремонтних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робіт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культури;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кадрового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потенціалу закладів культури Основними результатами, яких планується досягти, є: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покращення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матеріально-технічної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бази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культури;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-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високого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рівня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фестивалів,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конкурсів,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свят.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759F" w:rsidRDefault="00DC759F" w:rsidP="00DC759F">
      <w:pPr>
        <w:pStyle w:val="1"/>
        <w:ind w:left="2335"/>
        <w:jc w:val="both"/>
        <w:rPr>
          <w:sz w:val="28"/>
          <w:szCs w:val="28"/>
        </w:rPr>
      </w:pPr>
      <w:r>
        <w:rPr>
          <w:sz w:val="28"/>
          <w:szCs w:val="28"/>
        </w:rPr>
        <w:t>Фізична культура і спорт</w:t>
      </w:r>
    </w:p>
    <w:p w:rsidR="00DC759F" w:rsidRDefault="00DC759F" w:rsidP="00DC759F">
      <w:pPr>
        <w:pStyle w:val="1"/>
        <w:ind w:left="2335"/>
        <w:jc w:val="both"/>
        <w:rPr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Пріоритетами розвитку у цій сфері є залучення широких верств населення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масового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спорту,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популяризація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життя.</w:t>
      </w:r>
      <w:r>
        <w:rPr>
          <w:rFonts w:ascii="Times New Roman" w:hAnsi="Times New Roman"/>
          <w:sz w:val="28"/>
          <w:szCs w:val="28"/>
          <w:lang w:val="uk-UA"/>
        </w:rPr>
        <w:t xml:space="preserve"> У 2022 та 2023 роках передбачається здійснити такі заходи: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підвищення рівня охоплення населення різних вікових і соціальних груп усіма видами фізкультурно-оздоровчої та спортивної діяльності;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збереження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споруд,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удосконалення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механізмів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морального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заохочення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до високих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результатів;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481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матеріально-технічної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бази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загальноосвітніх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навчальних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закладів.</w:t>
      </w:r>
    </w:p>
    <w:p w:rsidR="00DC759F" w:rsidRDefault="00DC759F" w:rsidP="00DC759F">
      <w:pPr>
        <w:pStyle w:val="a6"/>
        <w:tabs>
          <w:tab w:val="left" w:pos="481"/>
        </w:tabs>
        <w:spacing w:after="0" w:line="240" w:lineRule="auto"/>
        <w:ind w:right="2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 результатами, яких планується досягти, є:</w:t>
      </w:r>
    </w:p>
    <w:p w:rsidR="00DC759F" w:rsidRDefault="00DC759F" w:rsidP="00DC759F">
      <w:pPr>
        <w:pStyle w:val="a6"/>
        <w:widowControl w:val="0"/>
        <w:numPr>
          <w:ilvl w:val="0"/>
          <w:numId w:val="12"/>
        </w:numPr>
        <w:tabs>
          <w:tab w:val="left" w:pos="481"/>
        </w:tabs>
        <w:autoSpaceDE w:val="0"/>
        <w:autoSpaceDN w:val="0"/>
        <w:spacing w:after="0" w:line="240" w:lineRule="auto"/>
        <w:ind w:right="228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підвищення рівня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залучення населення до занять фізичною культурою та масовим спортом, зміцнення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здоров'я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> попередження захворюванням</w:t>
      </w:r>
      <w:r>
        <w:rPr>
          <w:rFonts w:ascii="Times New Roman" w:hAnsi="Times New Roman"/>
          <w:sz w:val="28"/>
          <w:szCs w:val="28"/>
        </w:rPr>
        <w:t>.</w:t>
      </w:r>
    </w:p>
    <w:p w:rsidR="00DC759F" w:rsidRDefault="00DC759F" w:rsidP="00DC759F">
      <w:pPr>
        <w:pStyle w:val="a6"/>
        <w:tabs>
          <w:tab w:val="left" w:pos="481"/>
        </w:tabs>
        <w:spacing w:after="0" w:line="240" w:lineRule="auto"/>
        <w:ind w:right="228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17722A">
      <w:pPr>
        <w:pStyle w:val="1"/>
        <w:ind w:left="2127" w:right="2610"/>
        <w:rPr>
          <w:sz w:val="28"/>
          <w:szCs w:val="28"/>
          <w:lang w:val="ru-RU"/>
        </w:rPr>
      </w:pPr>
      <w:r>
        <w:rPr>
          <w:sz w:val="28"/>
          <w:szCs w:val="28"/>
        </w:rPr>
        <w:t>Комунальне господарство та благоустрій</w:t>
      </w:r>
    </w:p>
    <w:p w:rsidR="0017722A" w:rsidRPr="0017722A" w:rsidRDefault="0017722A" w:rsidP="0017722A">
      <w:pPr>
        <w:pStyle w:val="1"/>
        <w:ind w:left="2127" w:right="2610"/>
        <w:rPr>
          <w:sz w:val="28"/>
          <w:szCs w:val="28"/>
          <w:lang w:val="ru-RU"/>
        </w:rPr>
      </w:pP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Пріоритетними завданнями житлово-комунального господарства є підвищення якості житлово-комунальних послуг для всіх верств населення, розвиток благоустрою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пунктах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громади.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2022‒2023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роках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передбачається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здійснити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заходи: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належному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стані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водогонів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водопроводів;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сприяння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розвитку благоустрою: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освітлення доріг, прибудинкових територій, скверів та 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місць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використанням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енергоощадних світильників;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>збереження зелених насаджень, їх утримання в задовільному та упорядкованому стані;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охорона та благоустрій парків, річок;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обслуговування пам'ятних знаків та дощок, благоустрій кладовищ;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збір та вивезення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твердих побутових відходів.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Основними результатами, яких планується досягти, є: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підвищити рівень забезпеченості населення комунальними послугами в необхідних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обсягах, високої якості та за доступними цінами;</w:t>
      </w:r>
    </w:p>
    <w:p w:rsidR="00DC759F" w:rsidRDefault="00DC759F" w:rsidP="00DC759F">
      <w:pPr>
        <w:pStyle w:val="ab"/>
        <w:spacing w:after="0" w:line="240" w:lineRule="auto"/>
        <w:ind w:right="227" w:firstLine="5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покращити рівень благоустрою населених пунктів.</w:t>
      </w:r>
    </w:p>
    <w:p w:rsidR="00DC759F" w:rsidRDefault="00DC759F" w:rsidP="00DC759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759F" w:rsidRDefault="00DC759F" w:rsidP="0017722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7.Фінансування бюджету</w:t>
      </w:r>
    </w:p>
    <w:p w:rsidR="00DC759F" w:rsidRDefault="00DC759F" w:rsidP="0017722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(додаток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, додаток 10</w:t>
      </w:r>
      <w:r>
        <w:rPr>
          <w:rFonts w:ascii="Times New Roman" w:hAnsi="Times New Roman"/>
          <w:sz w:val="28"/>
          <w:szCs w:val="28"/>
        </w:rPr>
        <w:t>)</w:t>
      </w:r>
    </w:p>
    <w:p w:rsidR="00DC759F" w:rsidRDefault="00DC759F" w:rsidP="00DC759F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759F" w:rsidRDefault="00DC759F" w:rsidP="00DC759F">
      <w:pPr>
        <w:pStyle w:val="ae"/>
        <w:spacing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Надходження та витрати с</w:t>
      </w:r>
      <w:r>
        <w:rPr>
          <w:sz w:val="28"/>
          <w:szCs w:val="28"/>
          <w:lang w:val="ru-RU"/>
        </w:rPr>
        <w:t>елищного</w:t>
      </w:r>
      <w:r>
        <w:rPr>
          <w:sz w:val="28"/>
          <w:szCs w:val="28"/>
        </w:rPr>
        <w:t xml:space="preserve"> бюджету збалансовано.</w:t>
      </w:r>
    </w:p>
    <w:p w:rsidR="00DC759F" w:rsidRDefault="00DC759F" w:rsidP="00DC759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rvts29"/>
          <w:rFonts w:ascii="Times New Roman" w:hAnsi="Times New Roman"/>
          <w:sz w:val="28"/>
          <w:szCs w:val="28"/>
        </w:rPr>
        <w:t>Конкретні показники обсягу видатків бюджету розвитку на 2022-2023 роки будуть уточнюватися залежно від реальних можливостей бюджету на відповідні роки.</w:t>
      </w:r>
    </w:p>
    <w:p w:rsidR="00DC759F" w:rsidRDefault="00DC759F" w:rsidP="00DC759F">
      <w:pPr>
        <w:pStyle w:val="1"/>
        <w:tabs>
          <w:tab w:val="left" w:pos="925"/>
          <w:tab w:val="left" w:pos="1418"/>
          <w:tab w:val="left" w:pos="2733"/>
          <w:tab w:val="left" w:pos="7245"/>
          <w:tab w:val="left" w:pos="8627"/>
        </w:tabs>
        <w:ind w:left="426" w:right="230"/>
        <w:jc w:val="both"/>
        <w:rPr>
          <w:sz w:val="28"/>
          <w:szCs w:val="28"/>
        </w:rPr>
      </w:pPr>
    </w:p>
    <w:p w:rsidR="00DC759F" w:rsidRDefault="00DC759F" w:rsidP="00DC759F">
      <w:pPr>
        <w:pStyle w:val="ab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759F" w:rsidRDefault="00DC759F" w:rsidP="0017722A">
      <w:pPr>
        <w:pStyle w:val="1"/>
        <w:tabs>
          <w:tab w:val="left" w:pos="1395"/>
        </w:tabs>
        <w:ind w:left="1394" w:right="0"/>
        <w:rPr>
          <w:b w:val="0"/>
          <w:sz w:val="28"/>
          <w:szCs w:val="28"/>
        </w:rPr>
      </w:pPr>
      <w:r>
        <w:rPr>
          <w:sz w:val="28"/>
          <w:szCs w:val="28"/>
        </w:rPr>
        <w:t>8.</w:t>
      </w:r>
      <w:r w:rsidR="0017722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Взаємовідносини селищного бюджету з іншими бюджетами</w:t>
      </w:r>
      <w:r w:rsidR="0017722A">
        <w:rPr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>(додаток 11, додаток 12)</w:t>
      </w:r>
    </w:p>
    <w:p w:rsidR="00DC759F" w:rsidRDefault="00DC759F" w:rsidP="00DC759F">
      <w:pPr>
        <w:pStyle w:val="1"/>
        <w:tabs>
          <w:tab w:val="left" w:pos="1395"/>
        </w:tabs>
        <w:ind w:left="1394" w:right="0"/>
        <w:rPr>
          <w:sz w:val="28"/>
          <w:szCs w:val="28"/>
        </w:rPr>
      </w:pPr>
    </w:p>
    <w:p w:rsidR="00DC759F" w:rsidRDefault="00DC759F" w:rsidP="00DC759F">
      <w:pPr>
        <w:pStyle w:val="1"/>
        <w:tabs>
          <w:tab w:val="left" w:pos="1395"/>
        </w:tabs>
        <w:ind w:left="0" w:right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До селищного бюджету  з державного бюджету планується надходження освітньої субвенції у 2022 році в сумі 48 528 500 грн, у 2023 році – 53 150 600 грн з обласного бюджету планується отримати субвенцій у 2022 році в сумі 1 864 200 грн, у 2023 році – 2 156 560 грн, у 2024 – 2 464 697 грн. Для  утримання  комунальної установи «Голованівський центр професійного розвитку педагогічних працівників» з Побузького селищного бюджету очікується отримати субвенції  у 2022 році в сумі 300 000 грн, у 2023 році – 300 000 грн 2024 – 300 000 грн та з Перегонівського сільського бюджету у </w:t>
      </w:r>
      <w:r>
        <w:rPr>
          <w:b w:val="0"/>
          <w:sz w:val="28"/>
          <w:szCs w:val="28"/>
        </w:rPr>
        <w:lastRenderedPageBreak/>
        <w:t>2022 році – 80 000 грн, у 2023 році – 87 200 грн, у 2024 році – 95 000 грн.</w:t>
      </w:r>
    </w:p>
    <w:p w:rsidR="00DC759F" w:rsidRDefault="00DC759F" w:rsidP="00DC759F">
      <w:pPr>
        <w:pStyle w:val="1"/>
        <w:tabs>
          <w:tab w:val="left" w:pos="1395"/>
        </w:tabs>
        <w:ind w:left="0" w:right="0" w:firstLine="567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>З селищного бюджету планується субвенція до районного бюджету на утримання  «Об</w:t>
      </w:r>
      <w:r>
        <w:rPr>
          <w:b w:val="0"/>
          <w:sz w:val="28"/>
          <w:szCs w:val="28"/>
          <w:lang w:val="ru-RU"/>
        </w:rPr>
        <w:t>’єднаного Трудового архіву селищних, сільських рад Голованівського району» у 2022 роц</w:t>
      </w:r>
      <w:r>
        <w:rPr>
          <w:b w:val="0"/>
          <w:sz w:val="28"/>
          <w:szCs w:val="28"/>
        </w:rPr>
        <w:t>і</w:t>
      </w:r>
      <w:r>
        <w:rPr>
          <w:b w:val="0"/>
          <w:sz w:val="28"/>
          <w:szCs w:val="28"/>
          <w:lang w:val="ru-RU"/>
        </w:rPr>
        <w:t xml:space="preserve"> в сумі 290 600 грн, у 2023 – 313 800 грн, у 2023 році – 369 200 грн.</w:t>
      </w:r>
    </w:p>
    <w:p w:rsidR="00C92D1E" w:rsidRPr="00044C56" w:rsidRDefault="00C92D1E" w:rsidP="00044C56"/>
    <w:sectPr w:rsidR="00C92D1E" w:rsidRPr="00044C56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2D87" w:rsidRDefault="00E62D87" w:rsidP="00C92D1E">
      <w:pPr>
        <w:spacing w:after="0" w:line="240" w:lineRule="auto"/>
      </w:pPr>
      <w:r>
        <w:separator/>
      </w:r>
    </w:p>
  </w:endnote>
  <w:endnote w:type="continuationSeparator" w:id="1">
    <w:p w:rsidR="00E62D87" w:rsidRDefault="00E62D87" w:rsidP="00C9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2D87" w:rsidRDefault="00E62D87" w:rsidP="00C92D1E">
      <w:pPr>
        <w:spacing w:after="0" w:line="240" w:lineRule="auto"/>
      </w:pPr>
      <w:r>
        <w:separator/>
      </w:r>
    </w:p>
  </w:footnote>
  <w:footnote w:type="continuationSeparator" w:id="1">
    <w:p w:rsidR="00E62D87" w:rsidRDefault="00E62D87" w:rsidP="00C92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5710F9"/>
    <w:multiLevelType w:val="hybridMultilevel"/>
    <w:tmpl w:val="8612CCE2"/>
    <w:lvl w:ilvl="0" w:tplc="88640740">
      <w:numFmt w:val="bullet"/>
      <w:lvlText w:val="-"/>
      <w:lvlJc w:val="left"/>
      <w:pPr>
        <w:ind w:left="21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88A82BFA">
      <w:numFmt w:val="bullet"/>
      <w:lvlText w:val="•"/>
      <w:lvlJc w:val="left"/>
      <w:pPr>
        <w:ind w:left="1206" w:hanging="152"/>
      </w:pPr>
      <w:rPr>
        <w:rFonts w:hint="default"/>
        <w:lang w:val="uk-UA" w:eastAsia="en-US" w:bidi="ar-SA"/>
      </w:rPr>
    </w:lvl>
    <w:lvl w:ilvl="2" w:tplc="8D88FC88">
      <w:numFmt w:val="bullet"/>
      <w:lvlText w:val="•"/>
      <w:lvlJc w:val="left"/>
      <w:pPr>
        <w:ind w:left="2193" w:hanging="152"/>
      </w:pPr>
      <w:rPr>
        <w:rFonts w:hint="default"/>
        <w:lang w:val="uk-UA" w:eastAsia="en-US" w:bidi="ar-SA"/>
      </w:rPr>
    </w:lvl>
    <w:lvl w:ilvl="3" w:tplc="A6FA5E66">
      <w:numFmt w:val="bullet"/>
      <w:lvlText w:val="•"/>
      <w:lvlJc w:val="left"/>
      <w:pPr>
        <w:ind w:left="3179" w:hanging="152"/>
      </w:pPr>
      <w:rPr>
        <w:rFonts w:hint="default"/>
        <w:lang w:val="uk-UA" w:eastAsia="en-US" w:bidi="ar-SA"/>
      </w:rPr>
    </w:lvl>
    <w:lvl w:ilvl="4" w:tplc="F7B47CD2">
      <w:numFmt w:val="bullet"/>
      <w:lvlText w:val="•"/>
      <w:lvlJc w:val="left"/>
      <w:pPr>
        <w:ind w:left="4166" w:hanging="152"/>
      </w:pPr>
      <w:rPr>
        <w:rFonts w:hint="default"/>
        <w:lang w:val="uk-UA" w:eastAsia="en-US" w:bidi="ar-SA"/>
      </w:rPr>
    </w:lvl>
    <w:lvl w:ilvl="5" w:tplc="2064F320">
      <w:numFmt w:val="bullet"/>
      <w:lvlText w:val="•"/>
      <w:lvlJc w:val="left"/>
      <w:pPr>
        <w:ind w:left="5153" w:hanging="152"/>
      </w:pPr>
      <w:rPr>
        <w:rFonts w:hint="default"/>
        <w:lang w:val="uk-UA" w:eastAsia="en-US" w:bidi="ar-SA"/>
      </w:rPr>
    </w:lvl>
    <w:lvl w:ilvl="6" w:tplc="D1763B2E">
      <w:numFmt w:val="bullet"/>
      <w:lvlText w:val="•"/>
      <w:lvlJc w:val="left"/>
      <w:pPr>
        <w:ind w:left="6139" w:hanging="152"/>
      </w:pPr>
      <w:rPr>
        <w:rFonts w:hint="default"/>
        <w:lang w:val="uk-UA" w:eastAsia="en-US" w:bidi="ar-SA"/>
      </w:rPr>
    </w:lvl>
    <w:lvl w:ilvl="7" w:tplc="E0361C36">
      <w:numFmt w:val="bullet"/>
      <w:lvlText w:val="•"/>
      <w:lvlJc w:val="left"/>
      <w:pPr>
        <w:ind w:left="7126" w:hanging="152"/>
      </w:pPr>
      <w:rPr>
        <w:rFonts w:hint="default"/>
        <w:lang w:val="uk-UA" w:eastAsia="en-US" w:bidi="ar-SA"/>
      </w:rPr>
    </w:lvl>
    <w:lvl w:ilvl="8" w:tplc="B0F40C92">
      <w:numFmt w:val="bullet"/>
      <w:lvlText w:val="•"/>
      <w:lvlJc w:val="left"/>
      <w:pPr>
        <w:ind w:left="8113" w:hanging="152"/>
      </w:pPr>
      <w:rPr>
        <w:rFonts w:hint="default"/>
        <w:lang w:val="uk-UA" w:eastAsia="en-US" w:bidi="ar-SA"/>
      </w:rPr>
    </w:lvl>
  </w:abstractNum>
  <w:abstractNum w:abstractNumId="2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8D49F7"/>
    <w:multiLevelType w:val="hybridMultilevel"/>
    <w:tmpl w:val="BD9A54F8"/>
    <w:lvl w:ilvl="0" w:tplc="B66CD7A0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98F64C5"/>
    <w:multiLevelType w:val="hybridMultilevel"/>
    <w:tmpl w:val="7A987E82"/>
    <w:lvl w:ilvl="0" w:tplc="DF4C0BE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69" w:hanging="360"/>
      </w:pPr>
    </w:lvl>
    <w:lvl w:ilvl="2" w:tplc="0422001B" w:tentative="1">
      <w:start w:val="1"/>
      <w:numFmt w:val="lowerRoman"/>
      <w:lvlText w:val="%3."/>
      <w:lvlJc w:val="right"/>
      <w:pPr>
        <w:ind w:left="5789" w:hanging="180"/>
      </w:pPr>
    </w:lvl>
    <w:lvl w:ilvl="3" w:tplc="0422000F" w:tentative="1">
      <w:start w:val="1"/>
      <w:numFmt w:val="decimal"/>
      <w:lvlText w:val="%4."/>
      <w:lvlJc w:val="left"/>
      <w:pPr>
        <w:ind w:left="6509" w:hanging="360"/>
      </w:pPr>
    </w:lvl>
    <w:lvl w:ilvl="4" w:tplc="04220019" w:tentative="1">
      <w:start w:val="1"/>
      <w:numFmt w:val="lowerLetter"/>
      <w:lvlText w:val="%5."/>
      <w:lvlJc w:val="left"/>
      <w:pPr>
        <w:ind w:left="7229" w:hanging="360"/>
      </w:pPr>
    </w:lvl>
    <w:lvl w:ilvl="5" w:tplc="0422001B" w:tentative="1">
      <w:start w:val="1"/>
      <w:numFmt w:val="lowerRoman"/>
      <w:lvlText w:val="%6."/>
      <w:lvlJc w:val="right"/>
      <w:pPr>
        <w:ind w:left="7949" w:hanging="180"/>
      </w:pPr>
    </w:lvl>
    <w:lvl w:ilvl="6" w:tplc="0422000F" w:tentative="1">
      <w:start w:val="1"/>
      <w:numFmt w:val="decimal"/>
      <w:lvlText w:val="%7."/>
      <w:lvlJc w:val="left"/>
      <w:pPr>
        <w:ind w:left="8669" w:hanging="360"/>
      </w:pPr>
    </w:lvl>
    <w:lvl w:ilvl="7" w:tplc="04220019" w:tentative="1">
      <w:start w:val="1"/>
      <w:numFmt w:val="lowerLetter"/>
      <w:lvlText w:val="%8."/>
      <w:lvlJc w:val="left"/>
      <w:pPr>
        <w:ind w:left="9389" w:hanging="360"/>
      </w:pPr>
    </w:lvl>
    <w:lvl w:ilvl="8" w:tplc="0422001B" w:tentative="1">
      <w:start w:val="1"/>
      <w:numFmt w:val="lowerRoman"/>
      <w:lvlText w:val="%9."/>
      <w:lvlJc w:val="right"/>
      <w:pPr>
        <w:ind w:left="10109" w:hanging="180"/>
      </w:pPr>
    </w:lvl>
  </w:abstractNum>
  <w:abstractNum w:abstractNumId="5">
    <w:nsid w:val="41082245"/>
    <w:multiLevelType w:val="multilevel"/>
    <w:tmpl w:val="D44AC7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F27051"/>
    <w:multiLevelType w:val="hybridMultilevel"/>
    <w:tmpl w:val="3258A3D8"/>
    <w:lvl w:ilvl="0" w:tplc="1B504170">
      <w:numFmt w:val="bullet"/>
      <w:lvlText w:val="-"/>
      <w:lvlJc w:val="left"/>
      <w:pPr>
        <w:ind w:left="216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uk-UA" w:eastAsia="en-US" w:bidi="ar-SA"/>
      </w:rPr>
    </w:lvl>
    <w:lvl w:ilvl="1" w:tplc="EEA83252">
      <w:numFmt w:val="bullet"/>
      <w:lvlText w:val="•"/>
      <w:lvlJc w:val="left"/>
      <w:pPr>
        <w:ind w:left="1206" w:hanging="288"/>
      </w:pPr>
      <w:rPr>
        <w:rFonts w:hint="default"/>
        <w:lang w:val="uk-UA" w:eastAsia="en-US" w:bidi="ar-SA"/>
      </w:rPr>
    </w:lvl>
    <w:lvl w:ilvl="2" w:tplc="EB0822EE">
      <w:numFmt w:val="bullet"/>
      <w:lvlText w:val="•"/>
      <w:lvlJc w:val="left"/>
      <w:pPr>
        <w:ind w:left="2193" w:hanging="288"/>
      </w:pPr>
      <w:rPr>
        <w:rFonts w:hint="default"/>
        <w:lang w:val="uk-UA" w:eastAsia="en-US" w:bidi="ar-SA"/>
      </w:rPr>
    </w:lvl>
    <w:lvl w:ilvl="3" w:tplc="71AEBF06">
      <w:numFmt w:val="bullet"/>
      <w:lvlText w:val="•"/>
      <w:lvlJc w:val="left"/>
      <w:pPr>
        <w:ind w:left="3179" w:hanging="288"/>
      </w:pPr>
      <w:rPr>
        <w:rFonts w:hint="default"/>
        <w:lang w:val="uk-UA" w:eastAsia="en-US" w:bidi="ar-SA"/>
      </w:rPr>
    </w:lvl>
    <w:lvl w:ilvl="4" w:tplc="E7A2D172">
      <w:numFmt w:val="bullet"/>
      <w:lvlText w:val="•"/>
      <w:lvlJc w:val="left"/>
      <w:pPr>
        <w:ind w:left="4166" w:hanging="288"/>
      </w:pPr>
      <w:rPr>
        <w:rFonts w:hint="default"/>
        <w:lang w:val="uk-UA" w:eastAsia="en-US" w:bidi="ar-SA"/>
      </w:rPr>
    </w:lvl>
    <w:lvl w:ilvl="5" w:tplc="7B46CBBA">
      <w:numFmt w:val="bullet"/>
      <w:lvlText w:val="•"/>
      <w:lvlJc w:val="left"/>
      <w:pPr>
        <w:ind w:left="5153" w:hanging="288"/>
      </w:pPr>
      <w:rPr>
        <w:rFonts w:hint="default"/>
        <w:lang w:val="uk-UA" w:eastAsia="en-US" w:bidi="ar-SA"/>
      </w:rPr>
    </w:lvl>
    <w:lvl w:ilvl="6" w:tplc="2A52D7B0">
      <w:numFmt w:val="bullet"/>
      <w:lvlText w:val="•"/>
      <w:lvlJc w:val="left"/>
      <w:pPr>
        <w:ind w:left="6139" w:hanging="288"/>
      </w:pPr>
      <w:rPr>
        <w:rFonts w:hint="default"/>
        <w:lang w:val="uk-UA" w:eastAsia="en-US" w:bidi="ar-SA"/>
      </w:rPr>
    </w:lvl>
    <w:lvl w:ilvl="7" w:tplc="13AE693A">
      <w:numFmt w:val="bullet"/>
      <w:lvlText w:val="•"/>
      <w:lvlJc w:val="left"/>
      <w:pPr>
        <w:ind w:left="7126" w:hanging="288"/>
      </w:pPr>
      <w:rPr>
        <w:rFonts w:hint="default"/>
        <w:lang w:val="uk-UA" w:eastAsia="en-US" w:bidi="ar-SA"/>
      </w:rPr>
    </w:lvl>
    <w:lvl w:ilvl="8" w:tplc="5270FB22">
      <w:numFmt w:val="bullet"/>
      <w:lvlText w:val="•"/>
      <w:lvlJc w:val="left"/>
      <w:pPr>
        <w:ind w:left="8113" w:hanging="288"/>
      </w:pPr>
      <w:rPr>
        <w:rFonts w:hint="default"/>
        <w:lang w:val="uk-UA" w:eastAsia="en-US" w:bidi="ar-SA"/>
      </w:rPr>
    </w:lvl>
  </w:abstractNum>
  <w:abstractNum w:abstractNumId="7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9F5"/>
    <w:rsid w:val="0000497E"/>
    <w:rsid w:val="00007D11"/>
    <w:rsid w:val="0001658D"/>
    <w:rsid w:val="00020873"/>
    <w:rsid w:val="00044C56"/>
    <w:rsid w:val="00054C83"/>
    <w:rsid w:val="00075BE6"/>
    <w:rsid w:val="0009759E"/>
    <w:rsid w:val="000A2746"/>
    <w:rsid w:val="000B22F9"/>
    <w:rsid w:val="000D0441"/>
    <w:rsid w:val="00100B4C"/>
    <w:rsid w:val="00170F1E"/>
    <w:rsid w:val="0017722A"/>
    <w:rsid w:val="001B39FE"/>
    <w:rsid w:val="001B4C9F"/>
    <w:rsid w:val="001C5EF5"/>
    <w:rsid w:val="001D08EF"/>
    <w:rsid w:val="001F1AA6"/>
    <w:rsid w:val="001F4EF1"/>
    <w:rsid w:val="002175F8"/>
    <w:rsid w:val="00230DEA"/>
    <w:rsid w:val="00245314"/>
    <w:rsid w:val="002650E8"/>
    <w:rsid w:val="002B27BD"/>
    <w:rsid w:val="002D3D23"/>
    <w:rsid w:val="002E39BD"/>
    <w:rsid w:val="003229FF"/>
    <w:rsid w:val="00353F57"/>
    <w:rsid w:val="00371B0A"/>
    <w:rsid w:val="00397F9D"/>
    <w:rsid w:val="003B1A2B"/>
    <w:rsid w:val="003B351D"/>
    <w:rsid w:val="003B50CA"/>
    <w:rsid w:val="00406072"/>
    <w:rsid w:val="00484BA1"/>
    <w:rsid w:val="004A6C41"/>
    <w:rsid w:val="004A769D"/>
    <w:rsid w:val="004B633D"/>
    <w:rsid w:val="004F1385"/>
    <w:rsid w:val="005022C0"/>
    <w:rsid w:val="00526C96"/>
    <w:rsid w:val="005500F0"/>
    <w:rsid w:val="00581901"/>
    <w:rsid w:val="005A2F8B"/>
    <w:rsid w:val="005A6673"/>
    <w:rsid w:val="005C328A"/>
    <w:rsid w:val="005C4E89"/>
    <w:rsid w:val="005D53CA"/>
    <w:rsid w:val="005D7503"/>
    <w:rsid w:val="005E5F3E"/>
    <w:rsid w:val="00613DDE"/>
    <w:rsid w:val="00666174"/>
    <w:rsid w:val="006857EF"/>
    <w:rsid w:val="006D7F18"/>
    <w:rsid w:val="006E1E4E"/>
    <w:rsid w:val="006E6E2A"/>
    <w:rsid w:val="0077683A"/>
    <w:rsid w:val="00781324"/>
    <w:rsid w:val="007866A8"/>
    <w:rsid w:val="007870A2"/>
    <w:rsid w:val="0079113A"/>
    <w:rsid w:val="0079130B"/>
    <w:rsid w:val="007A7E2C"/>
    <w:rsid w:val="007C56AF"/>
    <w:rsid w:val="00815407"/>
    <w:rsid w:val="008229C0"/>
    <w:rsid w:val="00836DBE"/>
    <w:rsid w:val="00881FAF"/>
    <w:rsid w:val="00896162"/>
    <w:rsid w:val="008A6042"/>
    <w:rsid w:val="008C2BB0"/>
    <w:rsid w:val="008D57EB"/>
    <w:rsid w:val="008E0AA6"/>
    <w:rsid w:val="008F60BE"/>
    <w:rsid w:val="00920322"/>
    <w:rsid w:val="009214E2"/>
    <w:rsid w:val="009249E1"/>
    <w:rsid w:val="00937E5F"/>
    <w:rsid w:val="00943EA6"/>
    <w:rsid w:val="0096058D"/>
    <w:rsid w:val="00994D4D"/>
    <w:rsid w:val="009A43F0"/>
    <w:rsid w:val="009D4DFD"/>
    <w:rsid w:val="009D6CDE"/>
    <w:rsid w:val="00A071C5"/>
    <w:rsid w:val="00A13F00"/>
    <w:rsid w:val="00A34B72"/>
    <w:rsid w:val="00A550BD"/>
    <w:rsid w:val="00A569C9"/>
    <w:rsid w:val="00A71BE1"/>
    <w:rsid w:val="00AF7214"/>
    <w:rsid w:val="00B26351"/>
    <w:rsid w:val="00B83504"/>
    <w:rsid w:val="00B94FB4"/>
    <w:rsid w:val="00BD1F82"/>
    <w:rsid w:val="00BF5989"/>
    <w:rsid w:val="00C230A3"/>
    <w:rsid w:val="00C32454"/>
    <w:rsid w:val="00C625F6"/>
    <w:rsid w:val="00C74D96"/>
    <w:rsid w:val="00C8136B"/>
    <w:rsid w:val="00C83C4A"/>
    <w:rsid w:val="00C92D1E"/>
    <w:rsid w:val="00C95B7D"/>
    <w:rsid w:val="00CD0257"/>
    <w:rsid w:val="00D03BEC"/>
    <w:rsid w:val="00D060C1"/>
    <w:rsid w:val="00D72E62"/>
    <w:rsid w:val="00D72FD9"/>
    <w:rsid w:val="00D74C7B"/>
    <w:rsid w:val="00D8002F"/>
    <w:rsid w:val="00D8275F"/>
    <w:rsid w:val="00D8704B"/>
    <w:rsid w:val="00DA601C"/>
    <w:rsid w:val="00DC5B54"/>
    <w:rsid w:val="00DC759F"/>
    <w:rsid w:val="00DF5D62"/>
    <w:rsid w:val="00DF6CB9"/>
    <w:rsid w:val="00E44765"/>
    <w:rsid w:val="00E47C40"/>
    <w:rsid w:val="00E62D87"/>
    <w:rsid w:val="00E74241"/>
    <w:rsid w:val="00E76A4C"/>
    <w:rsid w:val="00E91220"/>
    <w:rsid w:val="00E96037"/>
    <w:rsid w:val="00EA2534"/>
    <w:rsid w:val="00EC23BB"/>
    <w:rsid w:val="00F05766"/>
    <w:rsid w:val="00F13925"/>
    <w:rsid w:val="00F55150"/>
    <w:rsid w:val="00F71025"/>
    <w:rsid w:val="00F7689E"/>
    <w:rsid w:val="00FB5F0B"/>
    <w:rsid w:val="00FE59F5"/>
    <w:rsid w:val="00FE5DD0"/>
    <w:rsid w:val="00FE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B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1"/>
    <w:qFormat/>
    <w:locked/>
    <w:rsid w:val="00044C56"/>
    <w:pPr>
      <w:widowControl w:val="0"/>
      <w:autoSpaceDE w:val="0"/>
      <w:autoSpaceDN w:val="0"/>
      <w:spacing w:after="0" w:line="240" w:lineRule="auto"/>
      <w:ind w:left="2336" w:right="2352"/>
      <w:jc w:val="center"/>
      <w:outlineLvl w:val="0"/>
    </w:pPr>
    <w:rPr>
      <w:rFonts w:ascii="Times New Roman" w:hAnsi="Times New Roman"/>
      <w:b/>
      <w:bCs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1"/>
    <w:qFormat/>
    <w:rsid w:val="004B633D"/>
    <w:pPr>
      <w:ind w:left="720"/>
      <w:contextualSpacing/>
    </w:pPr>
  </w:style>
  <w:style w:type="character" w:customStyle="1" w:styleId="2">
    <w:name w:val="Основний текст (2)_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link w:val="21"/>
    <w:uiPriority w:val="99"/>
    <w:locked/>
    <w:rsid w:val="00781324"/>
    <w:rPr>
      <w:rFonts w:cs="Times New Roman"/>
      <w:lang w:val="ru-RU" w:eastAsia="ru-RU" w:bidi="ar-SA"/>
    </w:rPr>
  </w:style>
  <w:style w:type="paragraph" w:styleId="a7">
    <w:name w:val="header"/>
    <w:basedOn w:val="a"/>
    <w:link w:val="a8"/>
    <w:uiPriority w:val="99"/>
    <w:semiHidden/>
    <w:unhideWhenUsed/>
    <w:rsid w:val="00C9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2D1E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C92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2D1E"/>
    <w:rPr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044C5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44C56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1"/>
    <w:rsid w:val="00044C56"/>
    <w:rPr>
      <w:rFonts w:ascii="Times New Roman" w:hAnsi="Times New Roman"/>
      <w:b/>
      <w:bCs/>
      <w:sz w:val="26"/>
      <w:szCs w:val="26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044C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44C56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val="uk-UA" w:eastAsia="en-US"/>
    </w:rPr>
  </w:style>
  <w:style w:type="paragraph" w:customStyle="1" w:styleId="western">
    <w:name w:val="western"/>
    <w:basedOn w:val="a"/>
    <w:rsid w:val="00044C56"/>
    <w:pPr>
      <w:spacing w:before="100" w:beforeAutospacing="1" w:after="142"/>
    </w:pPr>
    <w:rPr>
      <w:rFonts w:cs="Calibri"/>
      <w:color w:val="000000"/>
    </w:rPr>
  </w:style>
  <w:style w:type="character" w:customStyle="1" w:styleId="ad">
    <w:name w:val="Основной текст_"/>
    <w:basedOn w:val="a0"/>
    <w:link w:val="11"/>
    <w:rsid w:val="00044C56"/>
    <w:rPr>
      <w:rFonts w:ascii="Times New Roman" w:hAnsi="Times New Roman"/>
      <w:sz w:val="28"/>
      <w:szCs w:val="28"/>
    </w:rPr>
  </w:style>
  <w:style w:type="paragraph" w:customStyle="1" w:styleId="11">
    <w:name w:val="Основной текст1"/>
    <w:basedOn w:val="a"/>
    <w:link w:val="ad"/>
    <w:rsid w:val="00044C56"/>
    <w:pPr>
      <w:widowControl w:val="0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paragraph" w:styleId="ae">
    <w:name w:val="Body Text Indent"/>
    <w:basedOn w:val="a"/>
    <w:link w:val="af"/>
    <w:uiPriority w:val="99"/>
    <w:semiHidden/>
    <w:unhideWhenUsed/>
    <w:rsid w:val="00044C56"/>
    <w:pPr>
      <w:widowControl w:val="0"/>
      <w:autoSpaceDE w:val="0"/>
      <w:autoSpaceDN w:val="0"/>
      <w:spacing w:after="120" w:line="240" w:lineRule="auto"/>
      <w:ind w:left="283"/>
    </w:pPr>
    <w:rPr>
      <w:rFonts w:ascii="Times New Roman" w:hAnsi="Times New Roman"/>
      <w:lang w:val="uk-UA"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44C56"/>
    <w:rPr>
      <w:rFonts w:ascii="Times New Roman" w:hAnsi="Times New Roman"/>
      <w:sz w:val="22"/>
      <w:szCs w:val="22"/>
      <w:lang w:val="uk-UA" w:eastAsia="en-US"/>
    </w:rPr>
  </w:style>
  <w:style w:type="character" w:customStyle="1" w:styleId="rvts29">
    <w:name w:val="rvts29"/>
    <w:basedOn w:val="a0"/>
    <w:rsid w:val="00044C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AD30-3EA2-4DF4-80A4-63A58DCC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2021-08-11T13:31:00Z</cp:lastPrinted>
  <dcterms:created xsi:type="dcterms:W3CDTF">2021-10-23T07:22:00Z</dcterms:created>
  <dcterms:modified xsi:type="dcterms:W3CDTF">2021-10-23T07:30:00Z</dcterms:modified>
</cp:coreProperties>
</file>