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33AAF" w14:textId="77777777" w:rsidR="00CA15DC" w:rsidRDefault="00CA15DC" w:rsidP="00CA15DC">
      <w:pPr>
        <w:rPr>
          <w:sz w:val="28"/>
          <w:szCs w:val="28"/>
        </w:rPr>
      </w:pPr>
    </w:p>
    <w:p w14:paraId="45BF3FA3" w14:textId="77777777" w:rsidR="00CA15DC" w:rsidRDefault="00CA15DC" w:rsidP="00CA15DC">
      <w:pPr>
        <w:jc w:val="center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A4D92FE" wp14:editId="3D0D0A71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CA15DC" w14:paraId="77E2F4D4" w14:textId="77777777" w:rsidTr="00CA15DC">
        <w:tc>
          <w:tcPr>
            <w:tcW w:w="9854" w:type="dxa"/>
            <w:hideMark/>
          </w:tcPr>
          <w:p w14:paraId="54F937EA" w14:textId="77777777" w:rsidR="00CA15DC" w:rsidRDefault="00CA15DC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CA15DC" w14:paraId="5B95F389" w14:textId="77777777" w:rsidTr="00CA15DC">
        <w:tc>
          <w:tcPr>
            <w:tcW w:w="9854" w:type="dxa"/>
            <w:hideMark/>
          </w:tcPr>
          <w:p w14:paraId="58D76DA3" w14:textId="77777777" w:rsidR="00CA15DC" w:rsidRDefault="00CA15DC">
            <w:pPr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2ACA923" w14:textId="77777777" w:rsidR="00CA15DC" w:rsidRDefault="00CA15DC" w:rsidP="00CA15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54E15970" w14:textId="5B081D6E" w:rsidR="00CA15DC" w:rsidRPr="00B8143F" w:rsidRDefault="00CA15DC" w:rsidP="00CA15DC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 w:rsidR="00B8143F">
        <w:rPr>
          <w:sz w:val="28"/>
          <w:szCs w:val="28"/>
          <w:lang w:val="ru-RU"/>
        </w:rPr>
        <w:t>540</w:t>
      </w:r>
    </w:p>
    <w:p w14:paraId="64310097" w14:textId="77777777" w:rsidR="00CA15DC" w:rsidRDefault="00CA15DC" w:rsidP="00CA15DC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6D919E18" w14:textId="77777777" w:rsidR="00B8143F" w:rsidRDefault="00B8143F" w:rsidP="009761D1">
      <w:pPr>
        <w:tabs>
          <w:tab w:val="left" w:pos="0"/>
        </w:tabs>
        <w:adjustRightInd w:val="0"/>
        <w:ind w:right="3103"/>
        <w:jc w:val="both"/>
        <w:rPr>
          <w:rFonts w:eastAsia="Arial Unicode MS"/>
          <w:color w:val="000000"/>
          <w:sz w:val="24"/>
          <w:szCs w:val="24"/>
        </w:rPr>
      </w:pPr>
    </w:p>
    <w:p w14:paraId="73DA71C5" w14:textId="615DFBCC" w:rsidR="009761D1" w:rsidRDefault="009761D1" w:rsidP="009761D1">
      <w:pPr>
        <w:tabs>
          <w:tab w:val="left" w:pos="0"/>
        </w:tabs>
        <w:adjustRightInd w:val="0"/>
        <w:ind w:right="3103"/>
        <w:jc w:val="both"/>
        <w:rPr>
          <w:rFonts w:eastAsia="Calibri"/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 надання  дозволу на розроблення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1E4B8090" w14:textId="77777777" w:rsidR="009761D1" w:rsidRDefault="009761D1" w:rsidP="009761D1">
      <w:pPr>
        <w:tabs>
          <w:tab w:val="left" w:pos="0"/>
        </w:tabs>
        <w:adjustRightInd w:val="0"/>
        <w:ind w:right="3245"/>
        <w:jc w:val="both"/>
        <w:rPr>
          <w:rFonts w:eastAsiaTheme="minorHAnsi"/>
          <w:b/>
          <w:sz w:val="28"/>
          <w:szCs w:val="28"/>
        </w:rPr>
      </w:pPr>
      <w:r>
        <w:rPr>
          <w:b/>
          <w:sz w:val="28"/>
          <w:szCs w:val="28"/>
        </w:rPr>
        <w:t>землеустрою щодо відведення земельної ділянки  у власність  зі зміною цільового призначення гр. Бевзу Василю Сергійовичу</w:t>
      </w:r>
    </w:p>
    <w:bookmarkEnd w:id="0"/>
    <w:p w14:paraId="518FE0AA" w14:textId="77777777" w:rsidR="009761D1" w:rsidRDefault="009761D1" w:rsidP="009761D1">
      <w:pPr>
        <w:tabs>
          <w:tab w:val="left" w:pos="0"/>
        </w:tabs>
        <w:adjustRightInd w:val="0"/>
        <w:ind w:right="3245"/>
        <w:jc w:val="both"/>
        <w:rPr>
          <w:b/>
          <w:sz w:val="28"/>
          <w:szCs w:val="28"/>
        </w:rPr>
      </w:pPr>
    </w:p>
    <w:p w14:paraId="17AAB71F" w14:textId="77777777" w:rsidR="009761D1" w:rsidRDefault="009761D1" w:rsidP="009761D1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Керуючись п. 34 ст. 26 Закону України “Про місцеве самоврядування в Україні”, відповідно до ст. ст.. 12, 20,  ст. 56, 118   Земельного кодексу України, зважаючи на рекомендації</w:t>
      </w:r>
      <w:r>
        <w:rPr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0B3FE02E" w14:textId="77777777" w:rsidR="009761D1" w:rsidRDefault="009761D1" w:rsidP="009761D1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2C87F5DE" w14:textId="77777777" w:rsidR="009761D1" w:rsidRDefault="009761D1" w:rsidP="009761D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1.Надати гр. Бевзу Василю Сергійович дозвіл на розроблення 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сільськогосподарського призначення загальною площею - 0,5819 га, в тому числі по угіддях: ріллі (КВЗУ 001.01.) -  0,5819 га (кадастровий номер 3521485600:02:000:0549) зі  зміною цільового призначення  з «для ведення товарного сільськогосподарського призначення»  (код КВЦПЗ 01.01.) на «для ведення особистого селянського господарства» (код КВЦПЗ 01.03.)</w:t>
      </w:r>
      <w:r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яка розташована на території  Голованівської селищної ради Голованівського району Кіровоградської області за межами с.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Молдовка</w:t>
      </w:r>
      <w:proofErr w:type="spellEnd"/>
      <w:r>
        <w:rPr>
          <w:sz w:val="28"/>
          <w:szCs w:val="28"/>
        </w:rPr>
        <w:t>.</w:t>
      </w:r>
    </w:p>
    <w:p w14:paraId="76EFFF1E" w14:textId="77777777" w:rsidR="009761D1" w:rsidRDefault="009761D1" w:rsidP="009761D1">
      <w:pPr>
        <w:jc w:val="both"/>
        <w:rPr>
          <w:rFonts w:asciiTheme="minorHAnsi" w:hAnsiTheme="minorHAnsi" w:cstheme="minorBidi"/>
          <w:b/>
          <w:sz w:val="28"/>
          <w:szCs w:val="28"/>
        </w:rPr>
      </w:pPr>
      <w:r>
        <w:rPr>
          <w:color w:val="000000" w:themeColor="text1"/>
          <w:sz w:val="28"/>
          <w:szCs w:val="28"/>
        </w:rPr>
        <w:t>2.  Контроль за виконанням даного рішення покласти на постійну комісію з питань аграрної політики та земельних відносин.</w:t>
      </w:r>
      <w:r>
        <w:rPr>
          <w:b/>
          <w:sz w:val="28"/>
          <w:szCs w:val="28"/>
        </w:rPr>
        <w:t xml:space="preserve"> </w:t>
      </w:r>
    </w:p>
    <w:p w14:paraId="701B07F3" w14:textId="77777777" w:rsidR="009761D1" w:rsidRDefault="009761D1" w:rsidP="009761D1">
      <w:pPr>
        <w:jc w:val="both"/>
        <w:rPr>
          <w:b/>
          <w:sz w:val="28"/>
          <w:szCs w:val="28"/>
        </w:rPr>
      </w:pPr>
    </w:p>
    <w:p w14:paraId="580CDE67" w14:textId="77777777" w:rsidR="009761D1" w:rsidRDefault="009761D1" w:rsidP="009761D1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00BCE944" w14:textId="77777777" w:rsidR="00786C99" w:rsidRDefault="00786C99"/>
    <w:sectPr w:rsidR="00786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35C"/>
    <w:rsid w:val="0038435C"/>
    <w:rsid w:val="00786C99"/>
    <w:rsid w:val="009761D1"/>
    <w:rsid w:val="00B8143F"/>
    <w:rsid w:val="00CA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BB046"/>
  <w15:chartTrackingRefBased/>
  <w15:docId w15:val="{1E9744B6-656D-4B1E-9BEA-7C82F2FC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A15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5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2021-12-17T11:24:00Z</dcterms:created>
  <dcterms:modified xsi:type="dcterms:W3CDTF">2021-12-29T12:22:00Z</dcterms:modified>
</cp:coreProperties>
</file>