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AB836" w14:textId="77777777" w:rsidR="0072177A" w:rsidRDefault="0072177A" w:rsidP="0072177A"/>
    <w:p w14:paraId="3939E016" w14:textId="77777777" w:rsidR="0072177A" w:rsidRDefault="0072177A" w:rsidP="0072177A">
      <w:pPr>
        <w:jc w:val="both"/>
        <w:rPr>
          <w:sz w:val="28"/>
          <w:szCs w:val="28"/>
        </w:rPr>
      </w:pPr>
    </w:p>
    <w:p w14:paraId="7C567831" w14:textId="77777777" w:rsidR="0072177A" w:rsidRDefault="0072177A" w:rsidP="0072177A">
      <w:pPr>
        <w:rPr>
          <w:sz w:val="28"/>
          <w:szCs w:val="28"/>
        </w:rPr>
      </w:pPr>
    </w:p>
    <w:p w14:paraId="29FCAA55" w14:textId="77777777" w:rsidR="00565CFF" w:rsidRDefault="00565CFF" w:rsidP="00565CFF">
      <w:pPr>
        <w:jc w:val="center"/>
        <w:rPr>
          <w:sz w:val="28"/>
          <w:szCs w:val="28"/>
        </w:rPr>
      </w:pPr>
      <w:bookmarkStart w:id="0" w:name="_Hlk94602662"/>
      <w:bookmarkStart w:id="1" w:name="_Hlk94604208"/>
      <w:r>
        <w:rPr>
          <w:noProof/>
          <w:sz w:val="28"/>
          <w:szCs w:val="28"/>
        </w:rPr>
        <w:drawing>
          <wp:inline distT="0" distB="0" distL="0" distR="0" wp14:anchorId="1307CED1" wp14:editId="2D95F1BB">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5D1F404A" w14:textId="77777777" w:rsidR="00565CFF" w:rsidRDefault="00565CFF" w:rsidP="00565CFF">
      <w:pPr>
        <w:jc w:val="both"/>
        <w:rPr>
          <w:sz w:val="10"/>
          <w:szCs w:val="10"/>
        </w:rPr>
      </w:pPr>
    </w:p>
    <w:tbl>
      <w:tblPr>
        <w:tblW w:w="0" w:type="auto"/>
        <w:tblLook w:val="04A0" w:firstRow="1" w:lastRow="0" w:firstColumn="1" w:lastColumn="0" w:noHBand="0" w:noVBand="1"/>
      </w:tblPr>
      <w:tblGrid>
        <w:gridCol w:w="9355"/>
      </w:tblGrid>
      <w:tr w:rsidR="00565CFF" w14:paraId="738E34FC" w14:textId="77777777" w:rsidTr="00AF1E57">
        <w:tc>
          <w:tcPr>
            <w:tcW w:w="9854" w:type="dxa"/>
            <w:hideMark/>
          </w:tcPr>
          <w:p w14:paraId="12F246AE" w14:textId="77777777" w:rsidR="00565CFF" w:rsidRDefault="00565CFF" w:rsidP="00AF1E57">
            <w:pPr>
              <w:tabs>
                <w:tab w:val="left" w:pos="5985"/>
              </w:tabs>
              <w:jc w:val="center"/>
              <w:rPr>
                <w:rFonts w:ascii="AcademyCTT" w:hAnsi="AcademyCTT"/>
                <w:b/>
                <w:sz w:val="28"/>
                <w:szCs w:val="28"/>
              </w:rPr>
            </w:pPr>
            <w:proofErr w:type="gramStart"/>
            <w:r>
              <w:rPr>
                <w:rFonts w:ascii="AcademyCTT" w:hAnsi="AcademyCTT"/>
                <w:b/>
                <w:sz w:val="28"/>
                <w:szCs w:val="28"/>
              </w:rPr>
              <w:t>ШІСТНАДЦЯТА  СЕСІЯ</w:t>
            </w:r>
            <w:proofErr w:type="gramEnd"/>
            <w:r>
              <w:rPr>
                <w:rFonts w:ascii="AcademyCTT" w:hAnsi="AcademyCTT"/>
                <w:b/>
                <w:sz w:val="28"/>
                <w:szCs w:val="28"/>
              </w:rPr>
              <w:t xml:space="preserve"> </w:t>
            </w:r>
          </w:p>
        </w:tc>
      </w:tr>
      <w:tr w:rsidR="00565CFF" w14:paraId="05CB82C7" w14:textId="77777777" w:rsidTr="00AF1E57">
        <w:tc>
          <w:tcPr>
            <w:tcW w:w="9854" w:type="dxa"/>
            <w:hideMark/>
          </w:tcPr>
          <w:p w14:paraId="31939518" w14:textId="77777777" w:rsidR="00565CFF" w:rsidRDefault="00565CFF" w:rsidP="00AF1E57">
            <w:pPr>
              <w:jc w:val="center"/>
              <w:rPr>
                <w:sz w:val="28"/>
                <w:szCs w:val="28"/>
              </w:rPr>
            </w:pPr>
            <w:r>
              <w:rPr>
                <w:rFonts w:ascii="AcademyCTT" w:hAnsi="AcademyCTT"/>
                <w:b/>
                <w:sz w:val="28"/>
                <w:szCs w:val="28"/>
              </w:rPr>
              <w:t>ВОСЬМОГО СКЛИКАННЯ</w:t>
            </w:r>
          </w:p>
        </w:tc>
      </w:tr>
    </w:tbl>
    <w:p w14:paraId="6B64C396" w14:textId="77777777" w:rsidR="00565CFF" w:rsidRPr="002D5CF7" w:rsidRDefault="00565CFF" w:rsidP="00565CFF">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13B053A5" w14:textId="77777777" w:rsidR="00565CFF" w:rsidRDefault="00565CFF" w:rsidP="00565CFF">
      <w:pPr>
        <w:jc w:val="both"/>
        <w:rPr>
          <w:sz w:val="28"/>
          <w:szCs w:val="28"/>
        </w:rPr>
      </w:pPr>
    </w:p>
    <w:p w14:paraId="6E85A80C" w14:textId="1A8A035F" w:rsidR="00565CFF" w:rsidRPr="00565CFF" w:rsidRDefault="00565CFF" w:rsidP="00565CFF">
      <w:pPr>
        <w:jc w:val="both"/>
        <w:rPr>
          <w:sz w:val="28"/>
          <w:szCs w:val="28"/>
          <w:lang w:val="uk-UA"/>
        </w:rPr>
      </w:pPr>
      <w:proofErr w:type="spellStart"/>
      <w:r>
        <w:rPr>
          <w:sz w:val="28"/>
          <w:szCs w:val="28"/>
        </w:rPr>
        <w:t>Від</w:t>
      </w:r>
      <w:proofErr w:type="spellEnd"/>
      <w:r>
        <w:rPr>
          <w:sz w:val="28"/>
          <w:szCs w:val="28"/>
        </w:rPr>
        <w:t xml:space="preserve"> «31» </w:t>
      </w:r>
      <w:proofErr w:type="spellStart"/>
      <w:proofErr w:type="gramStart"/>
      <w:r>
        <w:rPr>
          <w:sz w:val="28"/>
          <w:szCs w:val="28"/>
        </w:rPr>
        <w:t>січня</w:t>
      </w:r>
      <w:proofErr w:type="spellEnd"/>
      <w:r>
        <w:rPr>
          <w:sz w:val="28"/>
          <w:szCs w:val="28"/>
        </w:rPr>
        <w:t xml:space="preserve">  2022</w:t>
      </w:r>
      <w:proofErr w:type="gramEnd"/>
      <w:r>
        <w:rPr>
          <w:sz w:val="28"/>
          <w:szCs w:val="28"/>
        </w:rPr>
        <w:t xml:space="preserve"> року   </w:t>
      </w:r>
      <w:r>
        <w:rPr>
          <w:sz w:val="28"/>
          <w:szCs w:val="28"/>
        </w:rPr>
        <w:tab/>
      </w:r>
      <w:r>
        <w:rPr>
          <w:sz w:val="28"/>
          <w:szCs w:val="28"/>
        </w:rPr>
        <w:tab/>
      </w:r>
      <w:r>
        <w:rPr>
          <w:sz w:val="28"/>
          <w:szCs w:val="28"/>
        </w:rPr>
        <w:tab/>
        <w:t xml:space="preserve">                                              №  </w:t>
      </w:r>
      <w:r>
        <w:rPr>
          <w:sz w:val="28"/>
          <w:szCs w:val="28"/>
          <w:lang w:val="uk-UA"/>
        </w:rPr>
        <w:t>563</w:t>
      </w:r>
    </w:p>
    <w:bookmarkEnd w:id="0"/>
    <w:p w14:paraId="188CBCAA" w14:textId="77777777" w:rsidR="00565CFF" w:rsidRDefault="00565CFF" w:rsidP="00565CFF">
      <w:pPr>
        <w:jc w:val="both"/>
        <w:rPr>
          <w:sz w:val="28"/>
          <w:szCs w:val="28"/>
        </w:rPr>
      </w:pPr>
    </w:p>
    <w:p w14:paraId="6A2E733D" w14:textId="77777777" w:rsidR="00565CFF" w:rsidRDefault="00565CFF" w:rsidP="00565CFF">
      <w:pPr>
        <w:jc w:val="center"/>
        <w:rPr>
          <w:sz w:val="28"/>
          <w:szCs w:val="28"/>
        </w:rPr>
      </w:pPr>
      <w:proofErr w:type="spellStart"/>
      <w:r>
        <w:rPr>
          <w:sz w:val="28"/>
          <w:szCs w:val="28"/>
        </w:rPr>
        <w:t>смт</w:t>
      </w:r>
      <w:proofErr w:type="spellEnd"/>
      <w:r>
        <w:rPr>
          <w:sz w:val="28"/>
          <w:szCs w:val="28"/>
        </w:rPr>
        <w:t xml:space="preserve"> </w:t>
      </w:r>
      <w:proofErr w:type="spellStart"/>
      <w:r>
        <w:rPr>
          <w:sz w:val="28"/>
          <w:szCs w:val="28"/>
        </w:rPr>
        <w:t>Голованівськ</w:t>
      </w:r>
      <w:proofErr w:type="spellEnd"/>
    </w:p>
    <w:bookmarkEnd w:id="1"/>
    <w:p w14:paraId="0EF8BB32" w14:textId="77777777" w:rsidR="0072177A" w:rsidRDefault="0072177A" w:rsidP="0072177A">
      <w:pPr>
        <w:ind w:left="360"/>
        <w:jc w:val="both"/>
        <w:rPr>
          <w:sz w:val="28"/>
          <w:szCs w:val="28"/>
        </w:rPr>
      </w:pPr>
      <w:r>
        <w:rPr>
          <w:sz w:val="28"/>
          <w:szCs w:val="28"/>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88"/>
      </w:tblGrid>
      <w:tr w:rsidR="002833F4" w14:paraId="3623EC57" w14:textId="77777777" w:rsidTr="002833F4">
        <w:tc>
          <w:tcPr>
            <w:tcW w:w="4788" w:type="dxa"/>
            <w:tcBorders>
              <w:top w:val="nil"/>
              <w:left w:val="nil"/>
              <w:bottom w:val="nil"/>
              <w:right w:val="nil"/>
            </w:tcBorders>
            <w:hideMark/>
          </w:tcPr>
          <w:p w14:paraId="6D717F0C" w14:textId="77777777" w:rsidR="002833F4" w:rsidRDefault="002833F4">
            <w:pPr>
              <w:spacing w:line="256" w:lineRule="auto"/>
              <w:rPr>
                <w:b/>
                <w:i/>
                <w:iCs/>
                <w:sz w:val="28"/>
                <w:szCs w:val="28"/>
              </w:rPr>
            </w:pPr>
            <w:bookmarkStart w:id="2" w:name="_GoBack"/>
            <w:r>
              <w:rPr>
                <w:b/>
                <w:iCs/>
                <w:sz w:val="28"/>
                <w:szCs w:val="28"/>
              </w:rPr>
              <w:t xml:space="preserve">Про </w:t>
            </w:r>
            <w:proofErr w:type="spellStart"/>
            <w:r>
              <w:rPr>
                <w:b/>
                <w:iCs/>
                <w:sz w:val="28"/>
                <w:szCs w:val="28"/>
              </w:rPr>
              <w:t>внесення</w:t>
            </w:r>
            <w:proofErr w:type="spellEnd"/>
            <w:r>
              <w:rPr>
                <w:b/>
                <w:iCs/>
                <w:sz w:val="28"/>
                <w:szCs w:val="28"/>
              </w:rPr>
              <w:t xml:space="preserve"> </w:t>
            </w:r>
            <w:r>
              <w:rPr>
                <w:b/>
                <w:iCs/>
                <w:sz w:val="28"/>
                <w:szCs w:val="28"/>
                <w:lang w:val="uk-UA"/>
              </w:rPr>
              <w:t xml:space="preserve">  </w:t>
            </w:r>
            <w:proofErr w:type="spellStart"/>
            <w:r>
              <w:rPr>
                <w:b/>
                <w:iCs/>
                <w:sz w:val="28"/>
                <w:szCs w:val="28"/>
              </w:rPr>
              <w:t>змін</w:t>
            </w:r>
            <w:proofErr w:type="spellEnd"/>
            <w:r>
              <w:rPr>
                <w:b/>
                <w:iCs/>
                <w:sz w:val="28"/>
                <w:szCs w:val="28"/>
              </w:rPr>
              <w:t xml:space="preserve"> до </w:t>
            </w:r>
            <w:r>
              <w:rPr>
                <w:b/>
                <w:iCs/>
                <w:sz w:val="28"/>
                <w:szCs w:val="28"/>
                <w:lang w:val="uk-UA"/>
              </w:rPr>
              <w:t xml:space="preserve">Програми розвитку земельних відносин Голованівської селищної ради на 2021-2025 </w:t>
            </w:r>
            <w:r>
              <w:rPr>
                <w:b/>
                <w:sz w:val="28"/>
                <w:szCs w:val="28"/>
              </w:rPr>
              <w:t xml:space="preserve">роки </w:t>
            </w:r>
            <w:r>
              <w:rPr>
                <w:b/>
                <w:i/>
                <w:iCs/>
                <w:sz w:val="28"/>
                <w:szCs w:val="28"/>
              </w:rPr>
              <w:t xml:space="preserve"> </w:t>
            </w:r>
            <w:bookmarkEnd w:id="2"/>
          </w:p>
        </w:tc>
      </w:tr>
    </w:tbl>
    <w:p w14:paraId="1B2E9E8C" w14:textId="77777777" w:rsidR="002833F4" w:rsidRDefault="002833F4" w:rsidP="002833F4">
      <w:pPr>
        <w:ind w:left="360"/>
        <w:jc w:val="both"/>
        <w:rPr>
          <w:sz w:val="28"/>
          <w:szCs w:val="28"/>
          <w:lang w:val="uk-UA"/>
        </w:rPr>
      </w:pPr>
    </w:p>
    <w:p w14:paraId="66852BA3" w14:textId="77777777" w:rsidR="002833F4" w:rsidRDefault="002833F4" w:rsidP="002833F4">
      <w:pPr>
        <w:pStyle w:val="a3"/>
        <w:ind w:left="0" w:firstLine="360"/>
        <w:rPr>
          <w:sz w:val="28"/>
          <w:szCs w:val="28"/>
        </w:rPr>
      </w:pPr>
      <w:r>
        <w:rPr>
          <w:sz w:val="28"/>
          <w:szCs w:val="28"/>
        </w:rPr>
        <w:t>Відповідно до п. 22  ч. 1 ст. 26 Закону України «Про місцеве самоврядування в Україні», доручення голови Кіровоградської обласної адміністрації від т30.11.2021 року № 01-26/191/0.1, рекомендацій постійної комісії з питань аграрної політики та земельних відносин селищна рада</w:t>
      </w:r>
    </w:p>
    <w:p w14:paraId="1DE7F0B2" w14:textId="77777777" w:rsidR="002833F4" w:rsidRDefault="002833F4" w:rsidP="002833F4">
      <w:pPr>
        <w:pStyle w:val="a3"/>
        <w:ind w:left="0" w:firstLine="360"/>
        <w:rPr>
          <w:sz w:val="28"/>
          <w:szCs w:val="28"/>
        </w:rPr>
      </w:pPr>
    </w:p>
    <w:p w14:paraId="6609A664" w14:textId="77777777" w:rsidR="002833F4" w:rsidRDefault="002833F4" w:rsidP="002833F4">
      <w:pPr>
        <w:pStyle w:val="a3"/>
        <w:ind w:left="0" w:firstLine="360"/>
        <w:rPr>
          <w:b/>
          <w:sz w:val="28"/>
          <w:szCs w:val="28"/>
        </w:rPr>
      </w:pPr>
      <w:r>
        <w:rPr>
          <w:b/>
          <w:sz w:val="28"/>
          <w:szCs w:val="28"/>
        </w:rPr>
        <w:t>ВИРІШИЛА:</w:t>
      </w:r>
    </w:p>
    <w:p w14:paraId="1B414058" w14:textId="77777777" w:rsidR="002833F4" w:rsidRDefault="002833F4" w:rsidP="002833F4">
      <w:pPr>
        <w:rPr>
          <w:sz w:val="28"/>
          <w:szCs w:val="28"/>
          <w:lang w:val="uk-UA"/>
        </w:rPr>
      </w:pPr>
      <w:r>
        <w:rPr>
          <w:sz w:val="28"/>
          <w:szCs w:val="28"/>
          <w:lang w:val="uk-UA"/>
        </w:rPr>
        <w:t xml:space="preserve">                                </w:t>
      </w:r>
    </w:p>
    <w:p w14:paraId="314E26AB" w14:textId="77777777" w:rsidR="002833F4" w:rsidRDefault="002833F4" w:rsidP="002833F4">
      <w:pPr>
        <w:jc w:val="both"/>
        <w:rPr>
          <w:bCs/>
          <w:sz w:val="28"/>
          <w:szCs w:val="28"/>
          <w:lang w:val="uk-UA"/>
        </w:rPr>
      </w:pPr>
      <w:r>
        <w:rPr>
          <w:bCs/>
          <w:sz w:val="28"/>
          <w:szCs w:val="28"/>
          <w:lang w:val="uk-UA"/>
        </w:rPr>
        <w:t>1.</w:t>
      </w:r>
      <w:r>
        <w:rPr>
          <w:iCs/>
          <w:sz w:val="28"/>
          <w:szCs w:val="28"/>
          <w:lang w:val="uk-UA"/>
        </w:rPr>
        <w:t xml:space="preserve">Внести зміни до «Програми розвитку земельних відносин Голованівської селищної ради на 2021-2025 </w:t>
      </w:r>
      <w:r>
        <w:rPr>
          <w:sz w:val="28"/>
          <w:szCs w:val="28"/>
          <w:lang w:val="uk-UA"/>
        </w:rPr>
        <w:t>роки», яка затверджена рішенням від 12 березня 2021 року №125  зі змінами від 11.11.2021 року № 357 «Про внесення доповнень до Програми розвитку земельних відносин Голованівської селищної ради на 2021-2025 роки», а саме в  п. 5</w:t>
      </w:r>
      <w:r>
        <w:rPr>
          <w:iCs/>
          <w:sz w:val="28"/>
          <w:szCs w:val="28"/>
          <w:lang w:val="uk-UA"/>
        </w:rPr>
        <w:t xml:space="preserve"> розділу 7 </w:t>
      </w:r>
      <w:r>
        <w:rPr>
          <w:sz w:val="28"/>
          <w:szCs w:val="28"/>
          <w:lang w:val="uk-UA"/>
        </w:rPr>
        <w:t>слова «Виготовлення генеральних планів населених пунктів та планів детального зонування території замінити на слова «Розробка (внесення змін) містобудівної документації  (комплексних планів просторового розвитку територій територіальних громад, генеральних планів населених пунктів, планів зонування, детальних планів територій).</w:t>
      </w:r>
    </w:p>
    <w:p w14:paraId="1E2E3887" w14:textId="77777777" w:rsidR="002833F4" w:rsidRDefault="002833F4" w:rsidP="002833F4">
      <w:pPr>
        <w:tabs>
          <w:tab w:val="left" w:pos="0"/>
        </w:tabs>
        <w:jc w:val="both"/>
        <w:rPr>
          <w:sz w:val="28"/>
          <w:szCs w:val="28"/>
          <w:lang w:val="uk-UA"/>
        </w:rPr>
      </w:pPr>
      <w:r>
        <w:rPr>
          <w:bCs/>
          <w:sz w:val="28"/>
          <w:szCs w:val="28"/>
          <w:lang w:val="uk-UA"/>
        </w:rPr>
        <w:t>2.</w:t>
      </w:r>
      <w:r>
        <w:rPr>
          <w:sz w:val="28"/>
          <w:szCs w:val="28"/>
          <w:lang w:val="uk-UA"/>
        </w:rPr>
        <w:t xml:space="preserve"> Контроль за виконанням даного рішення покласти на постійну комісію селищної ради з питань аграрної політики та земельних відносин.</w:t>
      </w:r>
    </w:p>
    <w:p w14:paraId="6D824667" w14:textId="77777777" w:rsidR="0072177A" w:rsidRDefault="0072177A" w:rsidP="0072177A">
      <w:pPr>
        <w:ind w:left="426"/>
        <w:jc w:val="both"/>
        <w:rPr>
          <w:bCs/>
          <w:sz w:val="28"/>
          <w:szCs w:val="28"/>
          <w:lang w:val="uk-UA"/>
        </w:rPr>
      </w:pPr>
    </w:p>
    <w:p w14:paraId="39D3C33F" w14:textId="77777777" w:rsidR="0072177A" w:rsidRDefault="0072177A" w:rsidP="0072177A">
      <w:pPr>
        <w:rPr>
          <w:bCs/>
          <w:lang w:val="uk-UA"/>
        </w:rPr>
      </w:pPr>
      <w:r>
        <w:rPr>
          <w:bCs/>
          <w:lang w:val="uk-UA"/>
        </w:rPr>
        <w:t xml:space="preserve"> </w:t>
      </w:r>
    </w:p>
    <w:p w14:paraId="7B9E3811" w14:textId="77777777" w:rsidR="0072177A" w:rsidRDefault="0072177A" w:rsidP="002833F4">
      <w:pPr>
        <w:rPr>
          <w:b/>
          <w:sz w:val="28"/>
          <w:szCs w:val="28"/>
        </w:rPr>
      </w:pPr>
      <w:proofErr w:type="spellStart"/>
      <w:r>
        <w:rPr>
          <w:b/>
          <w:color w:val="000000"/>
          <w:sz w:val="28"/>
          <w:szCs w:val="28"/>
        </w:rPr>
        <w:t>Селищний</w:t>
      </w:r>
      <w:proofErr w:type="spellEnd"/>
      <w:r>
        <w:rPr>
          <w:b/>
          <w:color w:val="000000"/>
          <w:sz w:val="28"/>
          <w:szCs w:val="28"/>
        </w:rPr>
        <w:t xml:space="preserve"> голова                            </w:t>
      </w:r>
      <w:r>
        <w:rPr>
          <w:b/>
          <w:color w:val="000000"/>
          <w:sz w:val="28"/>
          <w:szCs w:val="28"/>
          <w:lang w:val="uk-UA"/>
        </w:rPr>
        <w:t xml:space="preserve"> </w:t>
      </w:r>
      <w:r>
        <w:rPr>
          <w:b/>
          <w:color w:val="000000"/>
          <w:sz w:val="28"/>
          <w:szCs w:val="28"/>
        </w:rPr>
        <w:t xml:space="preserve">                         </w:t>
      </w:r>
      <w:proofErr w:type="spellStart"/>
      <w:proofErr w:type="gramStart"/>
      <w:r>
        <w:rPr>
          <w:b/>
          <w:color w:val="000000"/>
          <w:sz w:val="28"/>
          <w:szCs w:val="28"/>
        </w:rPr>
        <w:t>Сергій</w:t>
      </w:r>
      <w:proofErr w:type="spellEnd"/>
      <w:r>
        <w:rPr>
          <w:b/>
          <w:color w:val="000000"/>
          <w:sz w:val="28"/>
          <w:szCs w:val="28"/>
          <w:lang w:val="uk-UA"/>
        </w:rPr>
        <w:t xml:space="preserve">  </w:t>
      </w:r>
      <w:r>
        <w:rPr>
          <w:b/>
          <w:color w:val="000000"/>
          <w:sz w:val="28"/>
          <w:szCs w:val="28"/>
        </w:rPr>
        <w:t>ЦОБЕНКО</w:t>
      </w:r>
      <w:proofErr w:type="gramEnd"/>
    </w:p>
    <w:sectPr w:rsidR="007217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T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7AD"/>
    <w:rsid w:val="00005F1E"/>
    <w:rsid w:val="002833F4"/>
    <w:rsid w:val="00302632"/>
    <w:rsid w:val="00565CFF"/>
    <w:rsid w:val="0072177A"/>
    <w:rsid w:val="007F30AD"/>
    <w:rsid w:val="008947AD"/>
    <w:rsid w:val="008C359B"/>
    <w:rsid w:val="00BE6419"/>
    <w:rsid w:val="00CC0930"/>
    <w:rsid w:val="00EB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0532F"/>
  <w15:chartTrackingRefBased/>
  <w15:docId w15:val="{42928624-7BEB-49AC-B467-2F4C0239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2177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72177A"/>
    <w:pPr>
      <w:widowControl/>
      <w:autoSpaceDE/>
      <w:autoSpaceDN/>
      <w:adjustRightInd/>
      <w:ind w:left="360"/>
      <w:jc w:val="both"/>
    </w:pPr>
    <w:rPr>
      <w:sz w:val="24"/>
      <w:szCs w:val="24"/>
      <w:lang w:val="uk-UA" w:eastAsia="x-none"/>
    </w:rPr>
  </w:style>
  <w:style w:type="character" w:customStyle="1" w:styleId="a4">
    <w:name w:val="Основной текст с отступом Знак"/>
    <w:basedOn w:val="a0"/>
    <w:link w:val="a3"/>
    <w:semiHidden/>
    <w:rsid w:val="0072177A"/>
    <w:rPr>
      <w:rFonts w:ascii="Times New Roman" w:eastAsia="Times New Roman" w:hAnsi="Times New Roman" w:cs="Times New Roman"/>
      <w:sz w:val="24"/>
      <w:szCs w:val="24"/>
      <w:lang w:val="uk-UA" w:eastAsia="x-none"/>
    </w:rPr>
  </w:style>
  <w:style w:type="paragraph" w:styleId="a5">
    <w:name w:val="Balloon Text"/>
    <w:basedOn w:val="a"/>
    <w:link w:val="a6"/>
    <w:uiPriority w:val="99"/>
    <w:semiHidden/>
    <w:unhideWhenUsed/>
    <w:rsid w:val="0072177A"/>
    <w:rPr>
      <w:rFonts w:ascii="Segoe UI" w:hAnsi="Segoe UI" w:cs="Segoe UI"/>
      <w:sz w:val="18"/>
      <w:szCs w:val="18"/>
    </w:rPr>
  </w:style>
  <w:style w:type="character" w:customStyle="1" w:styleId="a6">
    <w:name w:val="Текст выноски Знак"/>
    <w:basedOn w:val="a0"/>
    <w:link w:val="a5"/>
    <w:uiPriority w:val="99"/>
    <w:semiHidden/>
    <w:rsid w:val="0072177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383">
      <w:bodyDiv w:val="1"/>
      <w:marLeft w:val="0"/>
      <w:marRight w:val="0"/>
      <w:marTop w:val="0"/>
      <w:marBottom w:val="0"/>
      <w:divBdr>
        <w:top w:val="none" w:sz="0" w:space="0" w:color="auto"/>
        <w:left w:val="none" w:sz="0" w:space="0" w:color="auto"/>
        <w:bottom w:val="none" w:sz="0" w:space="0" w:color="auto"/>
        <w:right w:val="none" w:sz="0" w:space="0" w:color="auto"/>
      </w:divBdr>
    </w:div>
    <w:div w:id="44665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cp:lastPrinted>2022-01-10T09:17:00Z</cp:lastPrinted>
  <dcterms:created xsi:type="dcterms:W3CDTF">2022-02-01T13:16:00Z</dcterms:created>
  <dcterms:modified xsi:type="dcterms:W3CDTF">2022-02-01T13:16:00Z</dcterms:modified>
</cp:coreProperties>
</file>