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3D5" w:rsidRDefault="002B13D5" w:rsidP="002B13D5">
      <w:pPr>
        <w:pStyle w:val="a5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B13D5" w:rsidRDefault="002B13D5" w:rsidP="002B13D5">
      <w:pPr>
        <w:pStyle w:val="a5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2B13D5" w:rsidRDefault="002B13D5" w:rsidP="002B13D5">
      <w:pPr>
        <w:pStyle w:val="a5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2B13D5" w:rsidRDefault="002B13D5" w:rsidP="002B13D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13D5" w:rsidRDefault="002B13D5" w:rsidP="002B13D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2B13D5" w:rsidRDefault="002B13D5" w:rsidP="002B13D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13D5" w:rsidRDefault="004C5F52" w:rsidP="002B13D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F52">
        <w:pict>
          <v:line id="_x0000_s1027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2B13D5" w:rsidRDefault="002B13D5" w:rsidP="002B13D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ВОСЬМА  СЕСІЯ  ПЕРЕГОНІВСЬКОЇ СІЛЬСЬКОЇ РАДИ</w:t>
      </w:r>
    </w:p>
    <w:p w:rsidR="002B13D5" w:rsidRDefault="002B13D5" w:rsidP="002B13D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2B13D5" w:rsidRDefault="002B13D5" w:rsidP="002B13D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13D5" w:rsidRDefault="002B13D5" w:rsidP="002B13D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2B13D5" w:rsidRDefault="002B13D5" w:rsidP="002B13D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29  червня  2021 року                                                      № 185</w:t>
      </w:r>
    </w:p>
    <w:p w:rsidR="002B13D5" w:rsidRDefault="002B13D5" w:rsidP="002B13D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13D5" w:rsidRDefault="002B13D5" w:rsidP="002B13D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2B13D5" w:rsidRDefault="002B13D5"/>
    <w:tbl>
      <w:tblPr>
        <w:tblW w:w="947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1"/>
        <w:gridCol w:w="126"/>
      </w:tblGrid>
      <w:tr w:rsidR="002B13D5" w:rsidRPr="00BA64CC" w:rsidTr="005C2B0A">
        <w:trPr>
          <w:tblCellSpacing w:w="15" w:type="dxa"/>
        </w:trPr>
        <w:tc>
          <w:tcPr>
            <w:tcW w:w="9306" w:type="dxa"/>
            <w:vAlign w:val="center"/>
            <w:hideMark/>
          </w:tcPr>
          <w:p w:rsidR="002B13D5" w:rsidRDefault="002B13D5" w:rsidP="002B13D5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 встановлення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A64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єдиного податку</w:t>
            </w:r>
          </w:p>
          <w:p w:rsidR="002B13D5" w:rsidRPr="00BA64CC" w:rsidRDefault="002B13D5" w:rsidP="002B13D5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  ставок  єдиного  податку</w:t>
            </w:r>
          </w:p>
          <w:p w:rsidR="002B13D5" w:rsidRPr="00BA64CC" w:rsidRDefault="002B13D5" w:rsidP="002B13D5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 території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Перегонівської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сільської ради </w:t>
            </w:r>
          </w:p>
        </w:tc>
        <w:tc>
          <w:tcPr>
            <w:tcW w:w="0" w:type="auto"/>
            <w:vAlign w:val="center"/>
            <w:hideMark/>
          </w:tcPr>
          <w:p w:rsidR="002B13D5" w:rsidRPr="00BA64CC" w:rsidRDefault="002B13D5" w:rsidP="005C2B0A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13D5" w:rsidRPr="00BA64CC" w:rsidTr="005C2B0A">
        <w:trPr>
          <w:tblCellSpacing w:w="15" w:type="dxa"/>
        </w:trPr>
        <w:tc>
          <w:tcPr>
            <w:tcW w:w="9417" w:type="dxa"/>
            <w:gridSpan w:val="2"/>
            <w:vAlign w:val="center"/>
            <w:hideMark/>
          </w:tcPr>
          <w:p w:rsidR="002B13D5" w:rsidRPr="00BA64CC" w:rsidRDefault="002B13D5" w:rsidP="005C2B0A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У зв’язку зі змінами, внесеними до Податкового кодексу України, Закону України «Про внесення змін до Податкового кодексу України та деяких законодавчих актів України щодо податкової реформи» від 20.12.2016 № 1791-VIIІ , згідно Бюджетного кодексу України, керуючись Законом України «Про засади державної регуляторної політики у сфері господарської діяльності», пунктом 24, пунктом 28 статті 26 Закону України «Про місцеве самоврядування в Україні» ( із змінами та доповненнями), враховуючи висновок постійної комісії сільської ради з питань планування бюджету та фінансів 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Перегонівська</w:t>
            </w:r>
            <w:proofErr w:type="spellEnd"/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сільська рада, </w:t>
            </w:r>
          </w:p>
        </w:tc>
      </w:tr>
      <w:tr w:rsidR="002B13D5" w:rsidRPr="00BA64CC" w:rsidTr="005C2B0A">
        <w:trPr>
          <w:trHeight w:val="50"/>
          <w:tblCellSpacing w:w="15" w:type="dxa"/>
        </w:trPr>
        <w:tc>
          <w:tcPr>
            <w:tcW w:w="9417" w:type="dxa"/>
            <w:gridSpan w:val="2"/>
            <w:vAlign w:val="center"/>
            <w:hideMark/>
          </w:tcPr>
          <w:p w:rsidR="002B13D5" w:rsidRPr="00BA64CC" w:rsidRDefault="002B13D5" w:rsidP="005C2B0A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ВИРІШИЛА: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>Встановити ставки єдиного  податку з розрахунку на календарний місяць :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>     1.1.Для першої групи платників єдиного податку для всіх видів господарської діяльності, передбачених для цієї групи -10 відсотків розміру мінімальної заробітної плати, встановленої законом на 1 січня податкового (звітного) року;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>  1.2. Для другої групи платників єдиного податку – 15 відсотків розміру мінімальної заробітної плати, встановленої законом на 1 січня податкового (звітного)року;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Затвердити Положення про єдиний податок на території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Перегонівської</w:t>
            </w:r>
            <w:proofErr w:type="spellEnd"/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сільської  ради (додається  додаток1).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>3. Рішення 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Перегонівської</w:t>
            </w:r>
            <w:proofErr w:type="spellEnd"/>
            <w:r w:rsidR="00662B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сільської ради від 25  червня 2019  № 230</w:t>
            </w: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A64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«Про встановлення єдиного податку  на території </w:t>
            </w:r>
            <w:proofErr w:type="spellStart"/>
            <w:r w:rsidR="00662B8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Перегонівської</w:t>
            </w:r>
            <w:proofErr w:type="spellEnd"/>
            <w:r w:rsidR="00662B8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сільської ради </w:t>
            </w:r>
            <w:r w:rsidRPr="00BA64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Семидубської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сільської  ради  від </w:t>
            </w:r>
            <w:r w:rsidR="00B9340D">
              <w:rPr>
                <w:rFonts w:ascii="Times New Roman" w:eastAsia="Times New Roman" w:hAnsi="Times New Roman" w:cs="Times New Roman"/>
                <w:sz w:val="28"/>
                <w:szCs w:val="28"/>
              </w:rPr>
              <w:t>29  травня 2020 року</w:t>
            </w:r>
            <w:r w:rsidR="00662B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B9340D">
              <w:rPr>
                <w:rFonts w:ascii="Times New Roman" w:eastAsia="Times New Roman" w:hAnsi="Times New Roman" w:cs="Times New Roman"/>
                <w:sz w:val="28"/>
                <w:szCs w:val="28"/>
              </w:rPr>
              <w:t>158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A64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B9340D" w:rsidRPr="00BA64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 встановлення </w:t>
            </w:r>
            <w:r w:rsidR="00B934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податку  на майно ( в  частині  транспортного  податку )  та  єдиного  податку  (  в  частині  платників,  для  яких  передбачені  фіксовані  ставки )  на  території  </w:t>
            </w:r>
            <w:r w:rsidR="001242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Семидубської</w:t>
            </w:r>
            <w:r w:rsidR="00B934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сільської  ради  на  </w:t>
            </w:r>
            <w:r w:rsidR="00073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="00B934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2021  рік</w:t>
            </w:r>
            <w:r w:rsidRPr="00BA64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Лебединської  сільської  ради  від  </w:t>
            </w:r>
            <w:r w:rsidR="00A270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 червня 2020 року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A270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191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A64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«Про встановлення </w:t>
            </w:r>
            <w:r w:rsidR="00A270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податків  і  зборів на  території Лебединської  сільської  ради</w:t>
            </w:r>
            <w:r w:rsidRPr="00BA64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Крутеньківської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сільської  ради   від </w:t>
            </w:r>
            <w:r w:rsidR="00A2705B">
              <w:rPr>
                <w:rFonts w:ascii="Times New Roman" w:eastAsia="Times New Roman" w:hAnsi="Times New Roman" w:cs="Times New Roman"/>
                <w:sz w:val="28"/>
                <w:szCs w:val="28"/>
              </w:rPr>
              <w:t>30 червня 2020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№ </w:t>
            </w:r>
            <w:r w:rsidR="00A2705B">
              <w:rPr>
                <w:rFonts w:ascii="Times New Roman" w:eastAsia="Times New Roman" w:hAnsi="Times New Roman" w:cs="Times New Roman"/>
                <w:sz w:val="28"/>
                <w:szCs w:val="28"/>
              </w:rPr>
              <w:t>161-43/2020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BA64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«Про встановлення </w:t>
            </w:r>
            <w:r w:rsidR="00A270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податку  на майно</w:t>
            </w:r>
            <w:r w:rsidR="00B934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 в  частині  транспортного  податку )  та  єдиного  податку  (  в  частині  платників,  для  яких  передбачені  фіксовані  ставки )  на  території  </w:t>
            </w:r>
            <w:proofErr w:type="spellStart"/>
            <w:r w:rsidR="00B934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Крутеньківської</w:t>
            </w:r>
            <w:proofErr w:type="spellEnd"/>
            <w:r w:rsidR="00B934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сільської  ради  на  2021  рік</w:t>
            </w:r>
            <w:r w:rsidRPr="00BA64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="00662B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вважати такими, що втратили</w:t>
            </w: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чинність.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Доручити секретарю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Перегонівської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сільської ради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А.В.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Тіторенко</w:t>
            </w:r>
            <w:proofErr w:type="spellEnd"/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оприлюднити проект рішення на </w:t>
            </w:r>
            <w:r w:rsidR="00046A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офіційному  сайті  </w:t>
            </w:r>
            <w:proofErr w:type="spellStart"/>
            <w:r w:rsidR="00046AF0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Перегонівської</w:t>
            </w:r>
            <w:proofErr w:type="spellEnd"/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сільської  ради.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>5.     Дане рішен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ня  вступає </w:t>
            </w:r>
            <w:r w:rsidR="00046A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силу  з 01.01.2022</w:t>
            </w: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року.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6.     Контроль за виконанням даного рішення покласти на постійну комісію сільської ради з питань планування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фінансів </w:t>
            </w: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соціально – економічного  розвитку, промисловості,  підприємництва  та  сфери  послуг</w:t>
            </w: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Прядун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О.Л.)</w:t>
            </w:r>
            <w:r w:rsidRPr="00BA6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B9340D" w:rsidRDefault="00B9340D" w:rsidP="005C2B0A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9340D" w:rsidRDefault="00B9340D" w:rsidP="005C2B0A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A64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Сільський  голова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Володимир  КОЗАК</w:t>
            </w:r>
          </w:p>
          <w:tbl>
            <w:tblPr>
              <w:tblStyle w:val="a4"/>
              <w:tblW w:w="0" w:type="auto"/>
              <w:tblInd w:w="451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809"/>
            </w:tblGrid>
            <w:tr w:rsidR="002B13D5" w:rsidRPr="00BA64CC" w:rsidTr="005C2B0A">
              <w:trPr>
                <w:trHeight w:val="610"/>
              </w:trPr>
              <w:tc>
                <w:tcPr>
                  <w:tcW w:w="4809" w:type="dxa"/>
                </w:tcPr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662B88" w:rsidRDefault="00662B88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2B13D5" w:rsidRPr="00BA64CC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BA64C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Додаток</w:t>
                  </w:r>
                  <w:proofErr w:type="spellEnd"/>
                  <w:r w:rsidRPr="00BA64C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1</w:t>
                  </w:r>
                  <w:r w:rsidRPr="00BA64C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 xml:space="preserve">до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ішення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8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сесії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8</w:t>
                  </w:r>
                  <w:r w:rsidRPr="00BA64C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A64C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скликання</w:t>
                  </w:r>
                  <w:proofErr w:type="spellEnd"/>
                </w:p>
                <w:p w:rsidR="002B13D5" w:rsidRPr="00BA64CC" w:rsidRDefault="002B13D5" w:rsidP="005C2B0A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Перегонівської</w:t>
                  </w:r>
                  <w:proofErr w:type="spellEnd"/>
                  <w:r w:rsidRPr="00BA64C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A64C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сільської</w:t>
                  </w:r>
                  <w:proofErr w:type="spellEnd"/>
                  <w:r w:rsidRPr="00BA64C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BA64C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ради</w:t>
                  </w:r>
                  <w:proofErr w:type="gramEnd"/>
                </w:p>
                <w:p w:rsidR="002B13D5" w:rsidRPr="00BA64CC" w:rsidRDefault="002B13D5" w:rsidP="002B13D5">
                  <w:pPr>
                    <w:pStyle w:val="a5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від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29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червня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2021</w:t>
                  </w:r>
                  <w:r w:rsidRPr="00BA64C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року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№ 185</w:t>
                  </w:r>
                </w:p>
              </w:tc>
            </w:tr>
          </w:tbl>
          <w:p w:rsidR="002B13D5" w:rsidRPr="00BA64CC" w:rsidRDefault="002B13D5" w:rsidP="005C2B0A">
            <w:pPr>
              <w:pStyle w:val="a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2B13D5" w:rsidRPr="00BA64CC" w:rsidRDefault="002B13D5" w:rsidP="005C2B0A">
            <w:pPr>
              <w:pStyle w:val="a5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2B13D5" w:rsidRPr="00BA64CC" w:rsidRDefault="002B13D5" w:rsidP="005C2B0A">
            <w:pPr>
              <w:pStyle w:val="a5"/>
              <w:jc w:val="center"/>
              <w:rPr>
                <w:rFonts w:ascii="Times New Roman" w:hAnsi="Times New Roman" w:cs="Times New Roman"/>
                <w:color w:val="31A3DD"/>
                <w:sz w:val="28"/>
                <w:szCs w:val="28"/>
              </w:rPr>
            </w:pPr>
            <w:r w:rsidRPr="00BA64CC">
              <w:rPr>
                <w:rStyle w:val="a3"/>
                <w:rFonts w:ascii="Times New Roman" w:hAnsi="Times New Roman" w:cs="Times New Roman"/>
                <w:color w:val="000000"/>
                <w:sz w:val="28"/>
                <w:szCs w:val="28"/>
              </w:rPr>
              <w:t>ПОЛОЖЕННЯ</w:t>
            </w:r>
          </w:p>
          <w:p w:rsidR="002B13D5" w:rsidRPr="00BA64CC" w:rsidRDefault="002B13D5" w:rsidP="005C2B0A">
            <w:pPr>
              <w:pStyle w:val="a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BA64CC">
              <w:rPr>
                <w:rStyle w:val="a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єдиний податок на території </w:t>
            </w:r>
            <w:proofErr w:type="spellStart"/>
            <w:r>
              <w:rPr>
                <w:rStyle w:val="a3"/>
                <w:rFonts w:ascii="Times New Roman" w:hAnsi="Times New Roman" w:cs="Times New Roman"/>
                <w:color w:val="000000"/>
                <w:sz w:val="28"/>
                <w:szCs w:val="28"/>
              </w:rPr>
              <w:t>Перегонівської</w:t>
            </w:r>
            <w:proofErr w:type="spellEnd"/>
            <w:r w:rsidRPr="00BA64CC">
              <w:rPr>
                <w:rStyle w:val="a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сільської ради</w:t>
            </w:r>
          </w:p>
          <w:p w:rsidR="002B13D5" w:rsidRPr="00BA64CC" w:rsidRDefault="002B13D5" w:rsidP="005C2B0A">
            <w:pPr>
              <w:pStyle w:val="a5"/>
              <w:jc w:val="center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Style w:val="a3"/>
                <w:rFonts w:ascii="Times New Roman" w:hAnsi="Times New Roman" w:cs="Times New Roman"/>
                <w:color w:val="000000"/>
                <w:sz w:val="28"/>
                <w:szCs w:val="28"/>
              </w:rPr>
              <w:t>Платники податку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Платниками єдиного податку є суб’єкти малого підприємництва – фізичні та юридичні особи, які задовольняють умовам спрощеної системи оподаткування, обліку та звітності і при цьому самостійно обрали даний спосіб оподаткування доходів шляхом отримання свідоцтва про сплату єдиного податку, форма та порядок видачі якого встановлюються Державною податковою службою України.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Суб’єкти господарювання, які застосовують спрощену систему оподаткування, обліку та звітності, поділяються на такі групи платників єдиного податку: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перша група – фізичні особи – підприємці, які не використовують працю найманих осіб, здійснюють виключно роздрібний продаж товарів з торговельних місць на ринках та/або провадять господарську діяльність з надання побутових послуг населенню і обсяг доходу яких протягом календ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арного року не перевищує 1,002 млн.</w:t>
            </w: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гривень;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друга група – фізичні особи – підприємці, які здійснюють господарську діяльність з надання послуг, у тому числі побутових, платникам єдиного податку та/або населенню, виробництво та/або продаж товарів, діяльність у сфері ресторанного господарства, за умови, що протягом календарного року відповідають сукупності таких критеріїв: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використовують працю найманих осіб або кількість осіб, які перебувають з ними у трудових відносинах, одночасно не перевищує 10 осіб;обся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 доходу не перевищує 5,004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млн.</w:t>
            </w: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гривень</w:t>
            </w:r>
            <w:proofErr w:type="spellEnd"/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Дія цього підпункту не поширюється на фізичних осіб – підприємців, які надають посередницькі послуги з купівлі, продажу, оренди та оцінювання нерухомого майна, а також здійснюють діяльність з виробництва, постачання, продажу (реалізації) ювелірних та побутових виробів з дорогоцінних металів, дорогоцінного каміння, дорогоцінного каміння органогенного утворення та </w:t>
            </w:r>
            <w:proofErr w:type="spellStart"/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напівдорогоцінного</w:t>
            </w:r>
            <w:proofErr w:type="spellEnd"/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каміння. Такі фізичні особи – підприємці належать виключно до третьої  групи платників єдиного податку, якщо відповідають вимогам, встановленим для такої групи;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    Не можуть бути платниками єдиного податку першої-другої груп: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суб’єкти господарювання (юридичні особи та фізичні особи – підприємці), які здійснюють: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діяльність з організації, проведення азартних ігор, лотерей (крім розповсюдження лотерей);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обмін іноземної валюти;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3) виробництво, експорт, імпорт, продаж підакцизних товарів (крім роздрібного продажу паливно-мастильних матеріалів в ємностях до 20 літрів та діяльності фізичних осіб, пов’язаної з роздрібним продажем пива та столових вин);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4) видобуток, виробництво, реалізацію дорогоцінних металів і дорогоцінного каміння, у тому числі органогенного утворення (крім виробництва, постачання, продажу (реалізації) ювелірних та побутових виробів з дорогоцінних металів, дорогоцінного каміння, дорогоцінного каміння органогенного утворення та </w:t>
            </w:r>
            <w:proofErr w:type="spellStart"/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напівдорогоцінного</w:t>
            </w:r>
            <w:proofErr w:type="spellEnd"/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каміння);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5) видобуток, реалізацію корисних копалин, крім реалізації корисних копалин місцевого значення;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7) діяльність з управління підприємствами;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8) діяльність з надання послуг пошти (крім кур’єрської діяльності) та зв’язку (крім діяльності, що не підлягає ліцензуванню);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9) діяльність з продажу предметів мистецтва та антикваріату, діяльність з організації торгів (аукціонів) виробами мистецтва, предметами колекціонування або антикваріату;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10) діяльність з організації, проведення гастрольних заходів;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Style w:val="a3"/>
                <w:rFonts w:ascii="Times New Roman" w:hAnsi="Times New Roman" w:cs="Times New Roman"/>
                <w:color w:val="000000"/>
                <w:sz w:val="28"/>
                <w:szCs w:val="28"/>
              </w:rPr>
              <w:t>Ставки та порядок обчислення податку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2.1. Ставки єдиного податку для платників першої – другої груп встановлюються у відсотках (фіксовані ставки) до розміру мінімальної заробітної плати, встановленої законом на 1 січня податкового (звітного) року (далі у цій главі – мінімальна заробітна плата), та третьої групи – у відсотках до доходу (відсоткові ставки).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2.1.1. Для першої групи платників єдиного податку, визначеної Податковим кодексом України у розмірах: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       – 10 % розміру прожиткового  мінімуму, встановленої законом на 1 січня податкового (звітного) року на всі види діяльності, які дозволені для даної групи платників єдиного податку з усіма обмеженнями та особливостями, викладеними в Податковому кодексі України.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2.1.2. Для другої групи платників єдиного податку, визначеної Податковим кодексом України, в розмірі 15 відсотків </w:t>
            </w:r>
            <w:r w:rsidRPr="00BA64C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розміру мінімальної заробітної плати</w:t>
            </w: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встановленої законом на 1 січня податкового (звітного) року, на всі види діяльності, які дозволені для даної групи платників єдиного податку з усіма обмеженнями та особливостями, викладеними в Податковому кодексі України.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2.2. Ставка єдиного податку встановлюється для платників єдиного податку першої – другої групи (фізичні особи – підприємці) у розмірі 15 відсотків: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       1) до суми перевищення обсягу доходу, визначеного у підпунктах 1-3 пункту 1 цього Положення;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        2) до доходу, отриманого від провадження діяльності, не зазначеної у реєстрі платників єдиного податку, віднесеного до першої або другої групи;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 до доходу, отриманого при застосуванні іншого способу розрахунків, ніж зазначений у Податковому кодексі;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4) до доходу, отриманого від здійснення видів діяльності, які не дають права застосовувати спрощену систему оподаткування.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5) до доходу, отриманого платниками першої або другої групи від провадження діяльності, яка не передбачена у підпунктах 1 або 2 пункту 1 цього Положення відповідно.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податку, встановлений для таких видів господарської діяльності.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Style w:val="a3"/>
                <w:rFonts w:ascii="Times New Roman" w:hAnsi="Times New Roman" w:cs="Times New Roman"/>
                <w:color w:val="000000"/>
                <w:sz w:val="28"/>
                <w:szCs w:val="28"/>
              </w:rPr>
              <w:t>Порядок та строки сплати податку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 Платники єдиного податку першої і другої груп сплачують єдиний податок шляхом здійснення авансового внеску не пізніше 20 числа (включно) поточного місяця.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Такі платники єдиного податку можуть здійснити сплату єдиного податку авансовим внеском за весь податковий (звітний) період (квартал, рік), але не більш як до кінця поточного звітного року.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3.2.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податку, заяви щодо періоду щорічної відпустки та/або заяви щодо терміну тимчасової втрати працездатності.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3.3. Платники єдиного податку третьої групи сплачують єдиний податок протягом 10 календарних днів після граничного строку подання податкової декларації за податковий (звітний) квартал.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3.4. Сплата єдиного податку платниками першої – третьої груп здійснюється за місцем податкової адреси.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3.5. Платники єдиного податку першої і другої груп, які не використовують працю найманих осіб, звільняються від сплати єдиного податку протягом одного календарного місяця на рік на час відпустки, а також за період хвороби, підтвердженої копією листка (листків) непрацездатності, якщо вона триває 30 і більше календарних днів.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3.6. Суми єдиного податку, сплачені відповідно до  абзацу другого пункту 4.1. і пункту 4.5. цього Положення, підлягають зарахуванню в рахунок майбутніх платежів з цього податку за заявою платника єдиного податку. Помилково та/або надміру сплачені суми єдиного податку підлягають поверненню платнику в порядку, встановленому цим Кодексом.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3.7. Єдиний податок, нарахований за перевищення обсягу доходу, сплачується протягом 10 календарних днів після граничного строку подання податкової декларації за податковий (звітний) квартал.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3.8. У разі припинення платником єдиного податку провадження господарської діяльності податкові зобов’язання із сплати єдиного податку нараховуються такому платнику до останнього дня (включно) календарного місяця, в якому до контролюючого органу подано заяву щодо відмови від спрощеної системи оподаткування у зв’язку з припиненням провадження господарської діяльності або 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 разі анулювання реєстрації платника єдиного податку за рішенням контролюючого органу податкові зобов’язання із сплати єдиного податку нараховуються такому платнику до останнього дня (включно) календарного місяця, в якому проведено анулювання реєстрації 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Style w:val="a3"/>
                <w:rFonts w:ascii="Times New Roman" w:hAnsi="Times New Roman" w:cs="Times New Roman"/>
                <w:color w:val="000000"/>
                <w:sz w:val="28"/>
                <w:szCs w:val="28"/>
              </w:rPr>
              <w:t>Податковий (звітний) період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4.1. Податковим (звітним) періодом для платників єдиного податку першої та другої груп є календарний рік.    Податковим (звітним) періодом для платників єдиного податку третьої групи є календарний квартал.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 Податковий  (звітний)  період  починається  з  першого числа першого місяця податкового (звітного) періоду і закінчується останнім календарним днем останнього місяця податкового (звітного) періоду.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Попередній податковий (звітний) рік для новоутворених сільськогосподарських товаровиробників – період з дня державної реєстрації до 31 грудня того ж року.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Податковий (звітний) період для сільськогосподарських товаровиробників, що ліквідуються, – період з початку року до їх фактичного припинення.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4.3. Для суб’єктів господарювання, які перейшли на сплату єдиного податку із сплати інших податків і зборів, встановлених цим Кодексом, перший податковий (звітний) період починається з першого числа місяця, що настає за наступним податковим (звітним) кварталом, у якому особу зареєстровано платником єдиного податку, і закінчується останнім календарним днем останнього місяця такого періоду.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 Для зареєстрованих в установленому порядку фізичних осіб – підприємців, які до закінчення місяця, в якому відбулася державна реєстрація, подали заяву щодо обрання спрощеної системи оподаткування та ставки єдиного податку, встановленої для першої або другої групи, перший податковий (звітний) період починається з першого числа місяця, наступного за місяцем, у якому особу зареєстровано платником єдиного податку.  Для зареєстрованих в установленому законом порядку суб’єктів господарювання (новостворених), які протягом 10 календарних днів з дня державної реєстрації подали заяву щодо обрання спрощеної системи оподаткування та ставки єдиного податку, встановленої для третьої групи, перший податковий (звітний) період починається з першого числа місяця, в якому відбулася державна. 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 4.5. Для суб’єктів господарювання, які утворюються в результаті реорганізації (крім перетворення) будь-якого платника податку, що має непогашені податкові зобов’язання чи податковий борг, які виникли до такої реорганізації, перший податковий (звітний) період починається з першого числа місяця, наступного за податковим (звітним) кварталом, у якому погашено такі податкові зобов’язання чи податковий борг і подано заяву щодо обрання спрощеної системи оподаткування.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31A3DD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4.6. У разі державної реєстрації припинення юридичних осіб та державної реєстрації припинення підприємницької діяльності фізичної особи – підприємця, які є платниками єдиного податку, останнім податковим (звітним) періодом вважається період, у якому подано до контролюючого органу заяву щодо відмови від спрощеної системи оподаткування у зв’язку з </w:t>
            </w:r>
            <w:r w:rsidRPr="00BA6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припиненням провадження господарської діяльності.4.7. У разі зміни податкової адреси платника єдиного податку останнім податковим (звітним) періодом за такою адресою вважається період, у якому подано до контролюючого органу заяву щодо зміни податкової адреси.</w:t>
            </w:r>
          </w:p>
          <w:p w:rsidR="002B13D5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B13D5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B13D5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A64C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Сільський голова                                     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                           Володимир  КОЗАК</w:t>
            </w: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13D5" w:rsidRPr="00BA64CC" w:rsidRDefault="002B13D5" w:rsidP="005C2B0A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E6403" w:rsidRDefault="000E6403"/>
    <w:sectPr w:rsidR="000E6403" w:rsidSect="007356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2B13D5"/>
    <w:rsid w:val="00046AF0"/>
    <w:rsid w:val="00073ABE"/>
    <w:rsid w:val="000E6403"/>
    <w:rsid w:val="0012423B"/>
    <w:rsid w:val="002B13D5"/>
    <w:rsid w:val="004C5F52"/>
    <w:rsid w:val="00662B88"/>
    <w:rsid w:val="007356C7"/>
    <w:rsid w:val="00A2705B"/>
    <w:rsid w:val="00B9340D"/>
    <w:rsid w:val="00F14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6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B13D5"/>
    <w:rPr>
      <w:b/>
      <w:bCs/>
    </w:rPr>
  </w:style>
  <w:style w:type="table" w:styleId="a4">
    <w:name w:val="Table Grid"/>
    <w:basedOn w:val="a1"/>
    <w:uiPriority w:val="39"/>
    <w:rsid w:val="002B13D5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B13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9196</Words>
  <Characters>5242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2021-06-30T06:25:00Z</cp:lastPrinted>
  <dcterms:created xsi:type="dcterms:W3CDTF">2021-06-29T13:36:00Z</dcterms:created>
  <dcterms:modified xsi:type="dcterms:W3CDTF">2021-06-30T06:26:00Z</dcterms:modified>
</cp:coreProperties>
</file>