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проведення управителями об’єктів обстеження та оцінки ступеня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об’єктів фізичного оточення і послуг для осіб з інвалідністю</w:t>
      </w:r>
    </w:p>
    <w:tbl>
      <w:tblPr>
        <w:tblW w:w="5058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9"/>
        <w:gridCol w:w="16"/>
        <w:gridCol w:w="3389"/>
        <w:gridCol w:w="1297"/>
        <w:gridCol w:w="1206"/>
        <w:gridCol w:w="641"/>
        <w:gridCol w:w="348"/>
        <w:gridCol w:w="202"/>
        <w:gridCol w:w="807"/>
        <w:gridCol w:w="385"/>
        <w:gridCol w:w="1241"/>
        <w:gridCol w:w="55"/>
      </w:tblGrid>
      <w:tr w:rsidR="008E2EB3" w:rsidTr="00C439B8">
        <w:trPr>
          <w:gridAfter w:val="1"/>
          <w:wAfter w:w="55" w:type="dxa"/>
          <w:tblCellSpacing w:w="0" w:type="dxa"/>
        </w:trPr>
        <w:tc>
          <w:tcPr>
            <w:tcW w:w="101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  <w:p w:rsidR="00F36557" w:rsidRPr="004C2C7E" w:rsidRDefault="00F36557" w:rsidP="00C477A7">
            <w:pPr>
              <w:pStyle w:val="st12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Суботців</w:t>
            </w:r>
            <w:r w:rsidR="004C2C7E">
              <w:rPr>
                <w:rStyle w:val="st42"/>
              </w:rPr>
              <w:t>ськ</w:t>
            </w:r>
            <w:r w:rsidR="002274AD">
              <w:rPr>
                <w:rStyle w:val="st42"/>
                <w:lang w:val="uk-UA"/>
              </w:rPr>
              <w:t>а</w:t>
            </w:r>
            <w:proofErr w:type="spellEnd"/>
            <w:r w:rsidR="002274AD">
              <w:rPr>
                <w:rStyle w:val="st42"/>
                <w:lang w:val="uk-UA"/>
              </w:rPr>
              <w:t xml:space="preserve"> бібліотечна філія</w:t>
            </w:r>
          </w:p>
          <w:p w:rsidR="00C477A7" w:rsidRDefault="00C477A7" w:rsidP="00C477A7">
            <w:pPr>
              <w:pStyle w:val="st12"/>
              <w:rPr>
                <w:rStyle w:val="st42"/>
              </w:rPr>
            </w:pPr>
          </w:p>
        </w:tc>
      </w:tr>
      <w:tr w:rsidR="008E2EB3" w:rsidTr="00C439B8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0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421E7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  <w:r w:rsidR="00F36557">
              <w:rPr>
                <w:rStyle w:val="st42"/>
              </w:rPr>
              <w:t>– 30</w:t>
            </w:r>
            <w:r w:rsidR="005A03EB">
              <w:rPr>
                <w:rStyle w:val="st42"/>
              </w:rPr>
              <w:t xml:space="preserve"> серп</w:t>
            </w:r>
            <w:r w:rsidR="009E2D4C">
              <w:rPr>
                <w:rStyle w:val="st42"/>
              </w:rPr>
              <w:t>ня 2021 року</w:t>
            </w:r>
            <w:r w:rsidR="005577A3">
              <w:rPr>
                <w:rStyle w:val="st42"/>
              </w:rPr>
              <w:t>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C439B8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0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421E7" w:rsidRDefault="004D02AA" w:rsidP="00AD4075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Адреса розташування об’єкта</w:t>
            </w:r>
            <w:r w:rsidR="00F421E7">
              <w:rPr>
                <w:rStyle w:val="st42"/>
              </w:rPr>
              <w:t xml:space="preserve">- с. </w:t>
            </w:r>
            <w:proofErr w:type="spellStart"/>
            <w:r w:rsidR="00F421E7">
              <w:rPr>
                <w:rStyle w:val="st42"/>
              </w:rPr>
              <w:t>Суботці</w:t>
            </w:r>
            <w:proofErr w:type="spellEnd"/>
            <w:r w:rsidR="00F421E7">
              <w:rPr>
                <w:rStyle w:val="st42"/>
              </w:rPr>
              <w:t>, вул. Центральна,</w:t>
            </w:r>
            <w:r w:rsidR="00F36557">
              <w:rPr>
                <w:rStyle w:val="st42"/>
              </w:rPr>
              <w:t xml:space="preserve"> </w:t>
            </w:r>
            <w:r w:rsidR="00F421E7">
              <w:rPr>
                <w:rStyle w:val="st42"/>
              </w:rPr>
              <w:t>2</w:t>
            </w:r>
            <w:r w:rsidR="00AD4075">
              <w:rPr>
                <w:rStyle w:val="st42"/>
              </w:rPr>
              <w:t>2</w:t>
            </w:r>
            <w:r w:rsidR="00F421E7">
              <w:rPr>
                <w:rStyle w:val="st42"/>
              </w:rPr>
              <w:t>.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C439B8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70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421E7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Форма власності</w:t>
            </w:r>
            <w:r w:rsidR="009F7FCD">
              <w:rPr>
                <w:rStyle w:val="st42"/>
              </w:rPr>
              <w:t>–</w:t>
            </w:r>
            <w:r w:rsidR="00F421E7">
              <w:rPr>
                <w:rStyle w:val="st42"/>
              </w:rPr>
              <w:t xml:space="preserve"> комунальна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C439B8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0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421E7" w:rsidRDefault="004D02AA" w:rsidP="00F36557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  <w:r w:rsidR="00F421E7">
              <w:rPr>
                <w:rStyle w:val="st42"/>
              </w:rPr>
              <w:t xml:space="preserve"> –</w:t>
            </w:r>
            <w:r w:rsidR="00AD4075">
              <w:rPr>
                <w:rStyle w:val="st42"/>
              </w:rPr>
              <w:t>проведення культурно масових заходів</w:t>
            </w:r>
            <w:r w:rsidR="00F421E7">
              <w:rPr>
                <w:rStyle w:val="st42"/>
              </w:rPr>
              <w:t xml:space="preserve"> 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C439B8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0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421E7" w:rsidRDefault="004D02AA" w:rsidP="00F36557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F421E7">
              <w:rPr>
                <w:rStyle w:val="st42"/>
              </w:rPr>
              <w:t xml:space="preserve"> – головний спеціаліст </w:t>
            </w:r>
            <w:r w:rsidR="00F36557">
              <w:rPr>
                <w:rStyle w:val="st42"/>
              </w:rPr>
              <w:t xml:space="preserve">з питань культури відділу освіти, молоді і спорту </w:t>
            </w:r>
            <w:proofErr w:type="spellStart"/>
            <w:r w:rsidR="00F421E7">
              <w:rPr>
                <w:rStyle w:val="st42"/>
              </w:rPr>
              <w:t>Суботцівської</w:t>
            </w:r>
            <w:proofErr w:type="spellEnd"/>
            <w:r w:rsidR="00F421E7">
              <w:rPr>
                <w:rStyle w:val="st42"/>
              </w:rPr>
              <w:t xml:space="preserve"> сільської ради</w:t>
            </w:r>
            <w:r w:rsidR="00F36557">
              <w:rPr>
                <w:rStyle w:val="st42"/>
              </w:rPr>
              <w:t xml:space="preserve"> – </w:t>
            </w:r>
            <w:proofErr w:type="spellStart"/>
            <w:r w:rsidR="00F36557">
              <w:rPr>
                <w:rStyle w:val="st42"/>
              </w:rPr>
              <w:t>Жека</w:t>
            </w:r>
            <w:proofErr w:type="spellEnd"/>
            <w:r w:rsidR="00F36557">
              <w:rPr>
                <w:rStyle w:val="st42"/>
              </w:rPr>
              <w:t xml:space="preserve"> Олена Миколаївна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C439B8">
        <w:tblPrEx>
          <w:tblCellSpacing w:w="-6" w:type="dxa"/>
        </w:tblPrEx>
        <w:trPr>
          <w:gridAfter w:val="1"/>
          <w:wAfter w:w="55" w:type="dxa"/>
          <w:tblCellSpacing w:w="-6" w:type="dxa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0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421E7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9F7FCD">
              <w:rPr>
                <w:rStyle w:val="st42"/>
              </w:rPr>
              <w:t>–</w:t>
            </w:r>
            <w:r w:rsidR="00F36557">
              <w:rPr>
                <w:rStyle w:val="st42"/>
              </w:rPr>
              <w:t xml:space="preserve"> 0994475741</w:t>
            </w: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 w:rsidP="00F421E7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F421E7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421E7" w:rsidRDefault="00D96EA2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421E7" w:rsidRDefault="00F421E7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421E7" w:rsidRDefault="00F421E7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ширина пішохідних доріжок до будівлі становить не менше </w:t>
            </w:r>
            <w:r>
              <w:rPr>
                <w:rStyle w:val="st42"/>
              </w:rPr>
              <w:lastRenderedPageBreak/>
              <w:t>1,8 метра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421E7" w:rsidRDefault="00F421E7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lastRenderedPageBreak/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F36557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030AF0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030AF0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030AF0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F421E7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облаштована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F36557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F421E7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2274AD" w:rsidRDefault="002274AD" w:rsidP="00F421E7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bookmarkStart w:id="0" w:name="_GoBack"/>
            <w:bookmarkEnd w:id="0"/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F421E7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C2C7E" w:rsidRDefault="004C2C7E" w:rsidP="00F421E7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</w:t>
            </w:r>
            <w:r>
              <w:rPr>
                <w:rStyle w:val="st42"/>
              </w:rPr>
              <w:lastRenderedPageBreak/>
              <w:t>встановлюють вимоги до зазначеного обладнання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C2C7E" w:rsidRDefault="004C2C7E" w:rsidP="00F421E7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C2C7E" w:rsidRDefault="004C2C7E" w:rsidP="00F421E7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C439B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C2C7E" w:rsidRDefault="004C2C7E" w:rsidP="00F421E7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C439B8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C2C7E" w:rsidRDefault="004C2C7E" w:rsidP="00F421E7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C439B8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9B8" w:rsidRDefault="00C439B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9B8" w:rsidRDefault="00C439B8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під час зупинки ліфта рівень його підлоги залишається в рівень із підлогою поверху (допускається відхилення не більш </w:t>
            </w:r>
            <w:r>
              <w:rPr>
                <w:rStyle w:val="st42"/>
              </w:rPr>
              <w:lastRenderedPageBreak/>
              <w:t>як 0,02 метра)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9B8" w:rsidRPr="004C2C7E" w:rsidRDefault="004C2C7E" w:rsidP="00F421E7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9B8" w:rsidRPr="00C439B8" w:rsidRDefault="00C4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9B8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9B8" w:rsidRDefault="00C439B8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9B8" w:rsidRDefault="00C439B8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9B8" w:rsidRPr="004C2C7E" w:rsidRDefault="004C2C7E" w:rsidP="00F421E7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9B8" w:rsidRPr="00C439B8" w:rsidRDefault="00C4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C2C7E" w:rsidRDefault="004C2C7E" w:rsidP="00F421E7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C2C7E" w:rsidRDefault="004C2C7E" w:rsidP="00F421E7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C2C7E" w:rsidRDefault="004C2C7E" w:rsidP="00F421E7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C2C7E" w:rsidRDefault="004C2C7E" w:rsidP="00F421E7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C2C7E" w:rsidRDefault="004C2C7E" w:rsidP="00F421E7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E2D4C" w:rsidRDefault="009E2D4C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E2D4C" w:rsidRDefault="009E2D4C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9E2D4C" w:rsidRDefault="009E2D4C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96EA2" w:rsidRDefault="00030AF0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96EA2" w:rsidRDefault="00D96EA2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96EA2" w:rsidRDefault="00D96EA2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96EA2" w:rsidRDefault="00D96EA2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96EA2" w:rsidRDefault="00D96EA2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96EA2" w:rsidRDefault="00030AF0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96EA2" w:rsidRDefault="00D96EA2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96EA2" w:rsidRDefault="00D96EA2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96EA2" w:rsidRDefault="00D96EA2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209B7" w:rsidRDefault="004D02AA">
            <w:pPr>
              <w:pStyle w:val="st14"/>
              <w:rPr>
                <w:rStyle w:val="st42"/>
                <w:color w:val="000000" w:themeColor="text1"/>
              </w:rPr>
            </w:pPr>
            <w:r w:rsidRPr="007209B7">
              <w:rPr>
                <w:rStyle w:val="st42"/>
                <w:color w:val="000000" w:themeColor="text1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209B7" w:rsidRDefault="007209B7" w:rsidP="00F421E7">
            <w:pPr>
              <w:pStyle w:val="st14"/>
              <w:jc w:val="center"/>
              <w:rPr>
                <w:rStyle w:val="st42"/>
                <w:color w:val="000000" w:themeColor="text1"/>
              </w:rPr>
            </w:pPr>
            <w:r w:rsidRPr="007209B7">
              <w:rPr>
                <w:rStyle w:val="st42"/>
                <w:color w:val="000000" w:themeColor="text1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209B7" w:rsidRDefault="004D02AA">
            <w:pPr>
              <w:pStyle w:val="st14"/>
              <w:rPr>
                <w:rStyle w:val="st42"/>
                <w:color w:val="000000" w:themeColor="text1"/>
              </w:rPr>
            </w:pPr>
            <w:r w:rsidRPr="007209B7">
              <w:rPr>
                <w:rStyle w:val="st42"/>
                <w:color w:val="000000" w:themeColor="text1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7209B7" w:rsidRDefault="007209B7" w:rsidP="00F421E7">
            <w:pPr>
              <w:pStyle w:val="st14"/>
              <w:jc w:val="center"/>
              <w:rPr>
                <w:rStyle w:val="st42"/>
                <w:color w:val="000000" w:themeColor="text1"/>
              </w:rPr>
            </w:pPr>
            <w:r w:rsidRPr="007209B7">
              <w:rPr>
                <w:rStyle w:val="st42"/>
                <w:color w:val="000000" w:themeColor="text1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96EA2" w:rsidRDefault="00D96EA2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030AF0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так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D96EA2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26187" w:rsidRDefault="00030AF0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26187" w:rsidRDefault="00F26187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26187" w:rsidRDefault="00F26187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F421E7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r>
              <w:rPr>
                <w:rStyle w:val="st42"/>
              </w:rPr>
              <w:lastRenderedPageBreak/>
              <w:t>веб-контенту W3C (WCAG) 2.0” не нижче рівня АА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F26187" w:rsidRDefault="00F26187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lastRenderedPageBreak/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2274AD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555648" w:rsidRDefault="00555648" w:rsidP="00F421E7">
            <w:pPr>
              <w:pStyle w:val="st14"/>
              <w:jc w:val="center"/>
              <w:rPr>
                <w:rStyle w:val="st42"/>
              </w:rPr>
            </w:pPr>
            <w:r>
              <w:rPr>
                <w:rStyle w:val="st42"/>
              </w:rPr>
              <w:t>ні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9E2D4C">
        <w:trPr>
          <w:gridAfter w:val="1"/>
          <w:wAfter w:w="55" w:type="dxa"/>
          <w:trHeight w:val="12"/>
          <w:tblCellSpacing w:w="0" w:type="dxa"/>
        </w:trPr>
        <w:tc>
          <w:tcPr>
            <w:tcW w:w="1013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 w:rsidTr="009E2D4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9E2D4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9E2D4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9E2D4C" w:rsidRDefault="00F36557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55648" w:rsidRDefault="00555648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55648" w:rsidRDefault="00555648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55648" w:rsidRDefault="00555648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555648" w:rsidRDefault="00555648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</w:tr>
      <w:tr w:rsidR="008E2EB3" w:rsidTr="009E2D4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2EB3" w:rsidRPr="00555648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  <w:r w:rsidR="00555648">
              <w:rPr>
                <w:rStyle w:val="st42"/>
              </w:rPr>
              <w:t xml:space="preserve"> - 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9E2D4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1013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9E2D4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9E2D4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9E2D4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9E2D4C" w:rsidRDefault="00F36557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36557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7155A" w:rsidRDefault="00F36557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7155A" w:rsidRDefault="00F36557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36557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</w:tr>
      <w:tr w:rsidR="008E2EB3" w:rsidTr="009E2D4C">
        <w:tblPrEx>
          <w:tblCellSpacing w:w="-6" w:type="dxa"/>
        </w:tblPrEx>
        <w:trPr>
          <w:gridAfter w:val="1"/>
          <w:wAfter w:w="55" w:type="dxa"/>
          <w:trHeight w:val="12"/>
          <w:tblCellSpacing w:w="-6" w:type="dxa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9E2D4C" w:rsidRDefault="00F36557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36557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36557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Pr="0037155A" w:rsidRDefault="00F36557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EB3" w:rsidRDefault="00F36557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-</w:t>
            </w:r>
          </w:p>
        </w:tc>
      </w:tr>
    </w:tbl>
    <w:p w:rsidR="009E2D4C" w:rsidRDefault="004D02AA" w:rsidP="009E2D4C">
      <w:pPr>
        <w:pStyle w:val="st14"/>
        <w:rPr>
          <w:rStyle w:val="st82"/>
        </w:rPr>
      </w:pPr>
      <w:r>
        <w:rPr>
          <w:rStyle w:val="st42"/>
        </w:rPr>
        <w:t>Підсумки</w:t>
      </w:r>
      <w:r w:rsidR="009E2D4C">
        <w:rPr>
          <w:rStyle w:val="st42"/>
        </w:rPr>
        <w:t>:</w:t>
      </w:r>
    </w:p>
    <w:p w:rsidR="009E2D4C" w:rsidRPr="009E2D4C" w:rsidRDefault="009E2D4C">
      <w:pPr>
        <w:pStyle w:val="st8"/>
        <w:rPr>
          <w:rStyle w:val="st82"/>
          <w:sz w:val="24"/>
          <w:szCs w:val="24"/>
        </w:rPr>
      </w:pPr>
      <w:r w:rsidRPr="009E2D4C">
        <w:rPr>
          <w:rStyle w:val="st82"/>
          <w:sz w:val="24"/>
          <w:szCs w:val="24"/>
        </w:rPr>
        <w:t>О</w:t>
      </w:r>
      <w:r w:rsidR="004D02AA" w:rsidRPr="009E2D4C">
        <w:rPr>
          <w:rStyle w:val="st82"/>
          <w:sz w:val="24"/>
          <w:szCs w:val="24"/>
        </w:rPr>
        <w:t xml:space="preserve">б’єкт є </w:t>
      </w:r>
      <w:r w:rsidR="00F36557">
        <w:rPr>
          <w:rStyle w:val="st82"/>
          <w:sz w:val="24"/>
          <w:szCs w:val="24"/>
        </w:rPr>
        <w:t xml:space="preserve">частково </w:t>
      </w:r>
      <w:proofErr w:type="spellStart"/>
      <w:r w:rsidR="004D02AA" w:rsidRPr="009E2D4C">
        <w:rPr>
          <w:rStyle w:val="st82"/>
          <w:sz w:val="24"/>
          <w:szCs w:val="24"/>
        </w:rPr>
        <w:t>безбар’єрним</w:t>
      </w:r>
      <w:proofErr w:type="spellEnd"/>
      <w:r w:rsidR="004D02AA" w:rsidRPr="009E2D4C">
        <w:rPr>
          <w:rStyle w:val="st82"/>
          <w:sz w:val="24"/>
          <w:szCs w:val="24"/>
        </w:rPr>
        <w:t xml:space="preserve">. Людина, яка користується кріслом колісним може самостійно зайти </w:t>
      </w:r>
      <w:r>
        <w:rPr>
          <w:rStyle w:val="st82"/>
          <w:sz w:val="24"/>
          <w:szCs w:val="24"/>
        </w:rPr>
        <w:t xml:space="preserve">до </w:t>
      </w:r>
      <w:r w:rsidR="001F72A4">
        <w:rPr>
          <w:rStyle w:val="st82"/>
          <w:sz w:val="24"/>
          <w:szCs w:val="24"/>
        </w:rPr>
        <w:t xml:space="preserve">Будинку культури </w:t>
      </w:r>
      <w:r w:rsidR="004D02AA" w:rsidRPr="009E2D4C">
        <w:rPr>
          <w:rStyle w:val="st82"/>
          <w:sz w:val="24"/>
          <w:szCs w:val="24"/>
        </w:rPr>
        <w:t xml:space="preserve">та вільно в ньому пересуватися. Такий об’єкт має </w:t>
      </w:r>
      <w:r w:rsidR="0037155A">
        <w:rPr>
          <w:rStyle w:val="st82"/>
          <w:sz w:val="24"/>
          <w:szCs w:val="24"/>
        </w:rPr>
        <w:t>нормативний пандус</w:t>
      </w:r>
      <w:r w:rsidR="004D02AA" w:rsidRPr="009E2D4C">
        <w:rPr>
          <w:rStyle w:val="st82"/>
          <w:sz w:val="24"/>
          <w:szCs w:val="24"/>
        </w:rPr>
        <w:t xml:space="preserve">, ширину всіх </w:t>
      </w:r>
      <w:r w:rsidRPr="009E2D4C">
        <w:rPr>
          <w:rStyle w:val="st82"/>
          <w:sz w:val="24"/>
          <w:szCs w:val="24"/>
        </w:rPr>
        <w:t>дверей не менше 90 сантиметрів.</w:t>
      </w:r>
    </w:p>
    <w:p w:rsidR="004C2C7E" w:rsidRDefault="004C2C7E">
      <w:pPr>
        <w:pStyle w:val="st14"/>
        <w:rPr>
          <w:rStyle w:val="st42"/>
          <w:lang w:val="uk-UA"/>
        </w:rPr>
      </w:pPr>
    </w:p>
    <w:p w:rsidR="008E2EB3" w:rsidRPr="00D96EA2" w:rsidRDefault="00D96EA2">
      <w:pPr>
        <w:pStyle w:val="st14"/>
        <w:rPr>
          <w:rStyle w:val="st42"/>
        </w:rPr>
      </w:pPr>
      <w:r>
        <w:rPr>
          <w:rStyle w:val="st42"/>
        </w:rPr>
        <w:t>Управитель об’єкт</w:t>
      </w:r>
      <w:r w:rsidR="001F72A4">
        <w:rPr>
          <w:rStyle w:val="st42"/>
        </w:rPr>
        <w:t>а</w:t>
      </w:r>
      <w:r>
        <w:rPr>
          <w:rStyle w:val="st42"/>
        </w:rPr>
        <w:t>:</w:t>
      </w:r>
      <w:r w:rsidR="001F72A4">
        <w:rPr>
          <w:rStyle w:val="st42"/>
        </w:rPr>
        <w:t xml:space="preserve"> Відділ освіти, культури, молоді та спорту </w:t>
      </w:r>
      <w:proofErr w:type="spellStart"/>
      <w:r>
        <w:rPr>
          <w:rStyle w:val="st42"/>
        </w:rPr>
        <w:t>Суботцівськ</w:t>
      </w:r>
      <w:r w:rsidR="001F72A4">
        <w:rPr>
          <w:rStyle w:val="st42"/>
        </w:rPr>
        <w:t>ої</w:t>
      </w:r>
      <w:proofErr w:type="spellEnd"/>
      <w:r>
        <w:rPr>
          <w:rStyle w:val="st42"/>
        </w:rPr>
        <w:t xml:space="preserve"> сільськ</w:t>
      </w:r>
      <w:r w:rsidR="001F72A4">
        <w:rPr>
          <w:rStyle w:val="st42"/>
        </w:rPr>
        <w:t>ої</w:t>
      </w:r>
      <w:r>
        <w:rPr>
          <w:rStyle w:val="st42"/>
        </w:rPr>
        <w:t xml:space="preserve"> рад</w:t>
      </w:r>
      <w:r w:rsidR="001F72A4">
        <w:rPr>
          <w:rStyle w:val="st42"/>
        </w:rPr>
        <w:t>и</w:t>
      </w:r>
      <w:r>
        <w:rPr>
          <w:rStyle w:val="st42"/>
        </w:rPr>
        <w:t>.</w:t>
      </w:r>
    </w:p>
    <w:p w:rsidR="004C2C7E" w:rsidRDefault="004C2C7E">
      <w:pPr>
        <w:pStyle w:val="st14"/>
        <w:rPr>
          <w:rStyle w:val="st42"/>
          <w:lang w:val="uk-UA"/>
        </w:rPr>
      </w:pPr>
    </w:p>
    <w:p w:rsidR="004D02AA" w:rsidRDefault="00D96EA2">
      <w:pPr>
        <w:pStyle w:val="st14"/>
        <w:rPr>
          <w:rStyle w:val="st42"/>
        </w:rPr>
      </w:pPr>
      <w:r>
        <w:rPr>
          <w:rStyle w:val="st42"/>
        </w:rPr>
        <w:t>“</w:t>
      </w:r>
      <w:r w:rsidR="00F36557">
        <w:rPr>
          <w:rStyle w:val="st42"/>
        </w:rPr>
        <w:t>30</w:t>
      </w:r>
      <w:r>
        <w:rPr>
          <w:rStyle w:val="st42"/>
        </w:rPr>
        <w:t>” серпня</w:t>
      </w:r>
      <w:r w:rsidR="004D02AA">
        <w:rPr>
          <w:rStyle w:val="st42"/>
        </w:rPr>
        <w:t xml:space="preserve"> 20</w:t>
      </w:r>
      <w:r>
        <w:rPr>
          <w:rStyle w:val="st42"/>
        </w:rPr>
        <w:t xml:space="preserve">21 </w:t>
      </w:r>
      <w:r w:rsidR="004D02AA">
        <w:rPr>
          <w:rStyle w:val="st42"/>
        </w:rPr>
        <w:t>р.</w:t>
      </w:r>
    </w:p>
    <w:sectPr w:rsidR="004D02AA" w:rsidSect="00DE6037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30AF0"/>
    <w:rsid w:val="001F72A4"/>
    <w:rsid w:val="002274AD"/>
    <w:rsid w:val="0037155A"/>
    <w:rsid w:val="00403A8B"/>
    <w:rsid w:val="004C2C7E"/>
    <w:rsid w:val="004D02AA"/>
    <w:rsid w:val="00555648"/>
    <w:rsid w:val="005577A3"/>
    <w:rsid w:val="005A03EB"/>
    <w:rsid w:val="007209B7"/>
    <w:rsid w:val="008E2EB3"/>
    <w:rsid w:val="009E2D4C"/>
    <w:rsid w:val="009F7FCD"/>
    <w:rsid w:val="00A26BE9"/>
    <w:rsid w:val="00A936D0"/>
    <w:rsid w:val="00AB1DD6"/>
    <w:rsid w:val="00AD4075"/>
    <w:rsid w:val="00B21375"/>
    <w:rsid w:val="00B55C8A"/>
    <w:rsid w:val="00BE0ABD"/>
    <w:rsid w:val="00C439B8"/>
    <w:rsid w:val="00C477A7"/>
    <w:rsid w:val="00C60A2E"/>
    <w:rsid w:val="00C62E00"/>
    <w:rsid w:val="00D96EA2"/>
    <w:rsid w:val="00DD40AD"/>
    <w:rsid w:val="00DE6037"/>
    <w:rsid w:val="00F26187"/>
    <w:rsid w:val="00F361BC"/>
    <w:rsid w:val="00F36557"/>
    <w:rsid w:val="00F42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8107</Words>
  <Characters>4622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3</cp:revision>
  <dcterms:created xsi:type="dcterms:W3CDTF">2021-10-04T10:36:00Z</dcterms:created>
  <dcterms:modified xsi:type="dcterms:W3CDTF">2021-10-04T10:37:00Z</dcterms:modified>
</cp:coreProperties>
</file>