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AA8" w:rsidRPr="00834CC2" w:rsidRDefault="003B0927" w:rsidP="00C73121">
      <w:pPr>
        <w:spacing w:after="0" w:line="240" w:lineRule="auto"/>
        <w:jc w:val="center"/>
        <w:rPr>
          <w:rFonts w:ascii="Times New Roman" w:hAnsi="Times New Roman" w:cs="Times New Roman"/>
          <w:i/>
          <w:sz w:val="26"/>
          <w:szCs w:val="26"/>
          <w:lang w:val="uk-UA"/>
        </w:rPr>
      </w:pPr>
      <w:r w:rsidRPr="00834CC2">
        <w:rPr>
          <w:rFonts w:ascii="Times New Roman" w:hAnsi="Times New Roman" w:cs="Times New Roman"/>
          <w:b/>
          <w:sz w:val="26"/>
          <w:szCs w:val="26"/>
          <w:lang w:val="uk-UA"/>
        </w:rPr>
        <w:t>Аналіз регуляторного впливу</w:t>
      </w:r>
      <w:r w:rsidRPr="00834CC2">
        <w:rPr>
          <w:rFonts w:ascii="Times New Roman" w:hAnsi="Times New Roman" w:cs="Times New Roman"/>
          <w:sz w:val="26"/>
          <w:szCs w:val="26"/>
          <w:lang w:val="uk-UA"/>
        </w:rPr>
        <w:t xml:space="preserve"> </w:t>
      </w:r>
      <w:r w:rsidRPr="00834CC2">
        <w:rPr>
          <w:rFonts w:ascii="Times New Roman" w:hAnsi="Times New Roman" w:cs="Times New Roman"/>
          <w:sz w:val="26"/>
          <w:szCs w:val="26"/>
          <w:lang w:val="uk-UA"/>
        </w:rPr>
        <w:br/>
      </w:r>
      <w:proofErr w:type="spellStart"/>
      <w:r w:rsidR="00834CC2" w:rsidRPr="00834CC2">
        <w:rPr>
          <w:rFonts w:ascii="Times New Roman" w:hAnsi="Times New Roman" w:cs="Times New Roman"/>
          <w:i/>
          <w:sz w:val="26"/>
          <w:szCs w:val="26"/>
          <w:lang w:val="uk-UA"/>
        </w:rPr>
        <w:t>проє</w:t>
      </w:r>
      <w:r w:rsidRPr="00834CC2">
        <w:rPr>
          <w:rFonts w:ascii="Times New Roman" w:hAnsi="Times New Roman" w:cs="Times New Roman"/>
          <w:i/>
          <w:sz w:val="26"/>
          <w:szCs w:val="26"/>
          <w:lang w:val="uk-UA"/>
        </w:rPr>
        <w:t>кту</w:t>
      </w:r>
      <w:proofErr w:type="spellEnd"/>
      <w:r w:rsidRPr="00834CC2">
        <w:rPr>
          <w:rFonts w:ascii="Times New Roman" w:hAnsi="Times New Roman" w:cs="Times New Roman"/>
          <w:i/>
          <w:sz w:val="26"/>
          <w:szCs w:val="26"/>
          <w:lang w:val="uk-UA"/>
        </w:rPr>
        <w:t xml:space="preserve"> рішення </w:t>
      </w:r>
      <w:proofErr w:type="spellStart"/>
      <w:r w:rsidRPr="00834CC2">
        <w:rPr>
          <w:rFonts w:ascii="Times New Roman" w:hAnsi="Times New Roman" w:cs="Times New Roman"/>
          <w:i/>
          <w:sz w:val="26"/>
          <w:szCs w:val="26"/>
          <w:lang w:val="uk-UA"/>
        </w:rPr>
        <w:t>Студениківської</w:t>
      </w:r>
      <w:proofErr w:type="spellEnd"/>
      <w:r w:rsidRPr="00834CC2">
        <w:rPr>
          <w:rFonts w:ascii="Times New Roman" w:hAnsi="Times New Roman" w:cs="Times New Roman"/>
          <w:i/>
          <w:sz w:val="26"/>
          <w:szCs w:val="26"/>
          <w:lang w:val="uk-UA"/>
        </w:rPr>
        <w:t xml:space="preserve"> сільської ради </w:t>
      </w:r>
      <w:r w:rsidR="00834CC2" w:rsidRPr="00834CC2">
        <w:rPr>
          <w:rFonts w:ascii="Times New Roman" w:hAnsi="Times New Roman" w:cs="Times New Roman"/>
          <w:i/>
          <w:sz w:val="26"/>
          <w:szCs w:val="26"/>
          <w:lang w:val="uk-UA"/>
        </w:rPr>
        <w:t>«Про затвердження П</w:t>
      </w:r>
      <w:r w:rsidRPr="00834CC2">
        <w:rPr>
          <w:rFonts w:ascii="Times New Roman" w:hAnsi="Times New Roman" w:cs="Times New Roman"/>
          <w:i/>
          <w:sz w:val="26"/>
          <w:szCs w:val="26"/>
          <w:lang w:val="uk-UA"/>
        </w:rPr>
        <w:t xml:space="preserve">равил благоустрою </w:t>
      </w:r>
      <w:r w:rsidR="00834CC2" w:rsidRPr="00834CC2">
        <w:rPr>
          <w:rFonts w:ascii="Times New Roman" w:hAnsi="Times New Roman" w:cs="Times New Roman"/>
          <w:i/>
          <w:sz w:val="26"/>
          <w:szCs w:val="26"/>
          <w:lang w:val="uk-UA"/>
        </w:rPr>
        <w:t xml:space="preserve">території населених пунктів </w:t>
      </w:r>
      <w:proofErr w:type="spellStart"/>
      <w:r w:rsidRPr="00834CC2">
        <w:rPr>
          <w:rFonts w:ascii="Times New Roman" w:hAnsi="Times New Roman" w:cs="Times New Roman"/>
          <w:i/>
          <w:sz w:val="26"/>
          <w:szCs w:val="26"/>
          <w:lang w:val="uk-UA"/>
        </w:rPr>
        <w:t>Студениківської</w:t>
      </w:r>
      <w:proofErr w:type="spellEnd"/>
      <w:r w:rsidRPr="00834CC2">
        <w:rPr>
          <w:rFonts w:ascii="Times New Roman" w:hAnsi="Times New Roman" w:cs="Times New Roman"/>
          <w:i/>
          <w:sz w:val="26"/>
          <w:szCs w:val="26"/>
          <w:lang w:val="uk-UA"/>
        </w:rPr>
        <w:t xml:space="preserve"> сільської територіальної громади</w:t>
      </w:r>
      <w:r w:rsidR="00834CC2" w:rsidRPr="00834CC2">
        <w:rPr>
          <w:rFonts w:ascii="Times New Roman" w:hAnsi="Times New Roman" w:cs="Times New Roman"/>
          <w:i/>
          <w:sz w:val="26"/>
          <w:szCs w:val="26"/>
          <w:lang w:val="uk-UA"/>
        </w:rPr>
        <w:t>»</w:t>
      </w:r>
    </w:p>
    <w:p w:rsidR="003B0927" w:rsidRPr="00834CC2" w:rsidRDefault="003B0927" w:rsidP="00C73121">
      <w:pPr>
        <w:spacing w:after="0" w:line="240" w:lineRule="auto"/>
        <w:rPr>
          <w:rFonts w:ascii="Times New Roman" w:hAnsi="Times New Roman" w:cs="Times New Roman"/>
          <w:b/>
          <w:sz w:val="26"/>
          <w:szCs w:val="26"/>
          <w:lang w:val="uk-UA"/>
        </w:rPr>
      </w:pPr>
    </w:p>
    <w:p w:rsidR="003B0927" w:rsidRPr="00834CC2" w:rsidRDefault="003B0927" w:rsidP="00C73121">
      <w:pPr>
        <w:spacing w:after="0" w:line="240" w:lineRule="auto"/>
        <w:jc w:val="center"/>
        <w:rPr>
          <w:rFonts w:ascii="Times New Roman" w:hAnsi="Times New Roman" w:cs="Times New Roman"/>
          <w:b/>
          <w:sz w:val="26"/>
          <w:szCs w:val="26"/>
          <w:lang w:val="uk-UA"/>
        </w:rPr>
      </w:pPr>
      <w:r w:rsidRPr="00834CC2">
        <w:rPr>
          <w:rFonts w:ascii="Times New Roman" w:hAnsi="Times New Roman" w:cs="Times New Roman"/>
          <w:b/>
          <w:sz w:val="26"/>
          <w:szCs w:val="26"/>
          <w:lang w:val="uk-UA"/>
        </w:rPr>
        <w:t>І. Визначення проблеми</w:t>
      </w:r>
    </w:p>
    <w:p w:rsidR="003B0927" w:rsidRPr="00834CC2" w:rsidRDefault="003B0927" w:rsidP="00C73121">
      <w:pPr>
        <w:spacing w:after="0" w:line="240" w:lineRule="auto"/>
        <w:jc w:val="both"/>
        <w:rPr>
          <w:rFonts w:ascii="Times New Roman" w:hAnsi="Times New Roman" w:cs="Times New Roman"/>
          <w:sz w:val="26"/>
          <w:szCs w:val="26"/>
          <w:lang w:val="uk-UA"/>
        </w:rPr>
      </w:pPr>
      <w:r w:rsidRPr="00834CC2">
        <w:rPr>
          <w:rFonts w:ascii="Times New Roman" w:hAnsi="Times New Roman" w:cs="Times New Roman"/>
          <w:b/>
          <w:sz w:val="26"/>
          <w:szCs w:val="26"/>
          <w:lang w:val="uk-UA"/>
        </w:rPr>
        <w:t xml:space="preserve">Благоустрій – </w:t>
      </w:r>
      <w:r w:rsidRPr="00834CC2">
        <w:rPr>
          <w:rFonts w:ascii="Times New Roman" w:hAnsi="Times New Roman" w:cs="Times New Roman"/>
          <w:sz w:val="26"/>
          <w:szCs w:val="26"/>
          <w:lang w:val="uk-UA"/>
        </w:rPr>
        <w:t xml:space="preserve">це візитна картка кожного населеного пункту та громади. Стан </w:t>
      </w:r>
      <w:proofErr w:type="spellStart"/>
      <w:r w:rsidRPr="00834CC2">
        <w:rPr>
          <w:rFonts w:ascii="Times New Roman" w:hAnsi="Times New Roman" w:cs="Times New Roman"/>
          <w:sz w:val="26"/>
          <w:szCs w:val="26"/>
          <w:lang w:val="uk-UA"/>
        </w:rPr>
        <w:t>вулично</w:t>
      </w:r>
      <w:proofErr w:type="spellEnd"/>
      <w:r w:rsidRPr="00834CC2">
        <w:rPr>
          <w:rFonts w:ascii="Times New Roman" w:hAnsi="Times New Roman" w:cs="Times New Roman"/>
          <w:sz w:val="26"/>
          <w:szCs w:val="26"/>
          <w:lang w:val="uk-UA"/>
        </w:rPr>
        <w:t>-дорожньої мережі, освітлення, озеленення та чистота території громади –</w:t>
      </w:r>
      <w:r w:rsidR="00C73121" w:rsidRPr="00834CC2">
        <w:rPr>
          <w:rFonts w:ascii="Times New Roman" w:hAnsi="Times New Roman" w:cs="Times New Roman"/>
          <w:sz w:val="26"/>
          <w:szCs w:val="26"/>
          <w:lang w:val="uk-UA"/>
        </w:rPr>
        <w:t xml:space="preserve"> оцінка як роботи </w:t>
      </w:r>
      <w:r w:rsidRPr="00834CC2">
        <w:rPr>
          <w:rFonts w:ascii="Times New Roman" w:hAnsi="Times New Roman" w:cs="Times New Roman"/>
          <w:sz w:val="26"/>
          <w:szCs w:val="26"/>
          <w:lang w:val="uk-UA"/>
        </w:rPr>
        <w:t xml:space="preserve">органів місцевого самоврядування так і громадського впливу на таку роботу. </w:t>
      </w:r>
    </w:p>
    <w:p w:rsidR="00C73121" w:rsidRPr="00834CC2" w:rsidRDefault="00CF6180" w:rsidP="00C73121">
      <w:pPr>
        <w:spacing w:after="0" w:line="240" w:lineRule="auto"/>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Цей аналіз регуляторного впливу розроблений відповідно до </w:t>
      </w:r>
      <w:proofErr w:type="spellStart"/>
      <w:r w:rsidRPr="00834CC2">
        <w:rPr>
          <w:rFonts w:ascii="Times New Roman" w:hAnsi="Times New Roman" w:cs="Times New Roman"/>
          <w:sz w:val="26"/>
          <w:szCs w:val="26"/>
          <w:lang w:val="uk-UA"/>
        </w:rPr>
        <w:t>ст.ст</w:t>
      </w:r>
      <w:proofErr w:type="spellEnd"/>
      <w:r w:rsidRPr="00834CC2">
        <w:rPr>
          <w:rFonts w:ascii="Times New Roman" w:hAnsi="Times New Roman" w:cs="Times New Roman"/>
          <w:sz w:val="26"/>
          <w:szCs w:val="26"/>
          <w:lang w:val="uk-UA"/>
        </w:rPr>
        <w:t>.</w:t>
      </w:r>
      <w:r w:rsidR="00834CC2" w:rsidRPr="00834CC2">
        <w:rPr>
          <w:rFonts w:ascii="Times New Roman" w:hAnsi="Times New Roman" w:cs="Times New Roman"/>
          <w:sz w:val="26"/>
          <w:szCs w:val="26"/>
          <w:lang w:val="uk-UA"/>
        </w:rPr>
        <w:t xml:space="preserve"> </w:t>
      </w:r>
      <w:r w:rsidR="00C73121" w:rsidRPr="00834CC2">
        <w:rPr>
          <w:rFonts w:ascii="Times New Roman" w:hAnsi="Times New Roman" w:cs="Times New Roman"/>
          <w:sz w:val="26"/>
          <w:szCs w:val="26"/>
          <w:lang w:val="uk-UA"/>
        </w:rPr>
        <w:t>4, 8 Закону України «Про засади регуляторної політики у сфері господарської діяльності» та Методики проведення ана</w:t>
      </w:r>
      <w:r w:rsidR="00834CC2" w:rsidRPr="00834CC2">
        <w:rPr>
          <w:rFonts w:ascii="Times New Roman" w:hAnsi="Times New Roman" w:cs="Times New Roman"/>
          <w:sz w:val="26"/>
          <w:szCs w:val="26"/>
          <w:lang w:val="uk-UA"/>
        </w:rPr>
        <w:t>лізу впливу регуляторного акту, затвердженої п</w:t>
      </w:r>
      <w:r w:rsidR="00C73121" w:rsidRPr="00834CC2">
        <w:rPr>
          <w:rFonts w:ascii="Times New Roman" w:hAnsi="Times New Roman" w:cs="Times New Roman"/>
          <w:sz w:val="26"/>
          <w:szCs w:val="26"/>
          <w:lang w:val="uk-UA"/>
        </w:rPr>
        <w:t>остановою Кабінету Мініс</w:t>
      </w:r>
      <w:r w:rsidR="00834CC2" w:rsidRPr="00834CC2">
        <w:rPr>
          <w:rFonts w:ascii="Times New Roman" w:hAnsi="Times New Roman" w:cs="Times New Roman"/>
          <w:sz w:val="26"/>
          <w:szCs w:val="26"/>
          <w:lang w:val="uk-UA"/>
        </w:rPr>
        <w:t>трів України від 11.03.2004 р.</w:t>
      </w:r>
      <w:r w:rsidR="00C73121" w:rsidRPr="00834CC2">
        <w:rPr>
          <w:rFonts w:ascii="Times New Roman" w:hAnsi="Times New Roman" w:cs="Times New Roman"/>
          <w:sz w:val="26"/>
          <w:szCs w:val="26"/>
          <w:lang w:val="uk-UA"/>
        </w:rPr>
        <w:t xml:space="preserve"> № 308.</w:t>
      </w:r>
    </w:p>
    <w:p w:rsidR="00C73121" w:rsidRPr="00834CC2" w:rsidRDefault="00C73121" w:rsidP="00C73121">
      <w:pPr>
        <w:spacing w:after="0" w:line="240" w:lineRule="auto"/>
        <w:jc w:val="both"/>
        <w:rPr>
          <w:rFonts w:ascii="Times New Roman" w:hAnsi="Times New Roman" w:cs="Times New Roman"/>
          <w:sz w:val="16"/>
          <w:szCs w:val="16"/>
          <w:lang w:val="uk-UA"/>
        </w:rPr>
      </w:pPr>
    </w:p>
    <w:p w:rsidR="00C73121" w:rsidRPr="00834CC2" w:rsidRDefault="00C73121" w:rsidP="00C73121">
      <w:pPr>
        <w:spacing w:after="0" w:line="240" w:lineRule="auto"/>
        <w:jc w:val="both"/>
        <w:rPr>
          <w:rFonts w:ascii="Times New Roman" w:hAnsi="Times New Roman" w:cs="Times New Roman"/>
          <w:sz w:val="26"/>
          <w:szCs w:val="26"/>
          <w:lang w:val="uk-UA"/>
        </w:rPr>
      </w:pPr>
      <w:r w:rsidRPr="00834CC2">
        <w:rPr>
          <w:rFonts w:ascii="Times New Roman" w:hAnsi="Times New Roman" w:cs="Times New Roman"/>
          <w:b/>
          <w:sz w:val="26"/>
          <w:szCs w:val="26"/>
          <w:lang w:val="uk-UA"/>
        </w:rPr>
        <w:t>Назва регуляторного акту:</w:t>
      </w:r>
      <w:r w:rsidRPr="00834CC2">
        <w:rPr>
          <w:rFonts w:ascii="Times New Roman" w:hAnsi="Times New Roman" w:cs="Times New Roman"/>
          <w:sz w:val="26"/>
          <w:szCs w:val="26"/>
          <w:lang w:val="uk-UA"/>
        </w:rPr>
        <w:t xml:space="preserve"> рішення </w:t>
      </w:r>
      <w:proofErr w:type="spellStart"/>
      <w:r w:rsidRPr="00834CC2">
        <w:rPr>
          <w:rFonts w:ascii="Times New Roman" w:hAnsi="Times New Roman" w:cs="Times New Roman"/>
          <w:sz w:val="26"/>
          <w:szCs w:val="26"/>
          <w:lang w:val="uk-UA"/>
        </w:rPr>
        <w:t>Студениківської</w:t>
      </w:r>
      <w:proofErr w:type="spellEnd"/>
      <w:r w:rsidRPr="00834CC2">
        <w:rPr>
          <w:rFonts w:ascii="Times New Roman" w:hAnsi="Times New Roman" w:cs="Times New Roman"/>
          <w:sz w:val="26"/>
          <w:szCs w:val="26"/>
          <w:lang w:val="uk-UA"/>
        </w:rPr>
        <w:t xml:space="preserve"> сільської ради «Про затвердження Правил благоустрою території </w:t>
      </w:r>
      <w:r w:rsidR="00834CC2" w:rsidRPr="00834CC2">
        <w:rPr>
          <w:rFonts w:ascii="Times New Roman" w:hAnsi="Times New Roman" w:cs="Times New Roman"/>
          <w:sz w:val="26"/>
          <w:szCs w:val="26"/>
          <w:lang w:val="uk-UA"/>
        </w:rPr>
        <w:t xml:space="preserve">населених пунктів </w:t>
      </w:r>
      <w:proofErr w:type="spellStart"/>
      <w:r w:rsidRPr="00834CC2">
        <w:rPr>
          <w:rFonts w:ascii="Times New Roman" w:hAnsi="Times New Roman" w:cs="Times New Roman"/>
          <w:sz w:val="26"/>
          <w:szCs w:val="26"/>
          <w:lang w:val="uk-UA"/>
        </w:rPr>
        <w:t>Студениківської</w:t>
      </w:r>
      <w:proofErr w:type="spellEnd"/>
      <w:r w:rsidRPr="00834CC2">
        <w:rPr>
          <w:rFonts w:ascii="Times New Roman" w:hAnsi="Times New Roman" w:cs="Times New Roman"/>
          <w:sz w:val="26"/>
          <w:szCs w:val="26"/>
          <w:lang w:val="uk-UA"/>
        </w:rPr>
        <w:t xml:space="preserve"> сільської територіальної громади».</w:t>
      </w:r>
    </w:p>
    <w:p w:rsidR="00182925" w:rsidRPr="00834CC2" w:rsidRDefault="00182925" w:rsidP="00C73121">
      <w:pPr>
        <w:spacing w:after="0" w:line="240" w:lineRule="auto"/>
        <w:jc w:val="both"/>
        <w:rPr>
          <w:rFonts w:ascii="Times New Roman" w:hAnsi="Times New Roman" w:cs="Times New Roman"/>
          <w:sz w:val="16"/>
          <w:szCs w:val="16"/>
          <w:lang w:val="uk-UA"/>
        </w:rPr>
      </w:pPr>
    </w:p>
    <w:p w:rsidR="00182925" w:rsidRPr="00834CC2" w:rsidRDefault="00182925" w:rsidP="00C73121">
      <w:pPr>
        <w:spacing w:after="0" w:line="240" w:lineRule="auto"/>
        <w:jc w:val="both"/>
        <w:rPr>
          <w:rFonts w:ascii="Times New Roman" w:hAnsi="Times New Roman" w:cs="Times New Roman"/>
          <w:sz w:val="26"/>
          <w:szCs w:val="26"/>
          <w:lang w:val="uk-UA"/>
        </w:rPr>
      </w:pPr>
      <w:r w:rsidRPr="00834CC2">
        <w:rPr>
          <w:rFonts w:ascii="Times New Roman" w:hAnsi="Times New Roman" w:cs="Times New Roman"/>
          <w:b/>
          <w:sz w:val="26"/>
          <w:szCs w:val="26"/>
          <w:lang w:val="uk-UA"/>
        </w:rPr>
        <w:t>Регуляторний орган:</w:t>
      </w:r>
      <w:r w:rsidRPr="00834CC2">
        <w:rPr>
          <w:rFonts w:ascii="Times New Roman" w:hAnsi="Times New Roman" w:cs="Times New Roman"/>
          <w:sz w:val="26"/>
          <w:szCs w:val="26"/>
          <w:lang w:val="uk-UA"/>
        </w:rPr>
        <w:t xml:space="preserve"> </w:t>
      </w:r>
      <w:proofErr w:type="spellStart"/>
      <w:r w:rsidRPr="00834CC2">
        <w:rPr>
          <w:rFonts w:ascii="Times New Roman" w:hAnsi="Times New Roman" w:cs="Times New Roman"/>
          <w:sz w:val="26"/>
          <w:szCs w:val="26"/>
          <w:lang w:val="uk-UA"/>
        </w:rPr>
        <w:t>Студениківська</w:t>
      </w:r>
      <w:proofErr w:type="spellEnd"/>
      <w:r w:rsidRPr="00834CC2">
        <w:rPr>
          <w:rFonts w:ascii="Times New Roman" w:hAnsi="Times New Roman" w:cs="Times New Roman"/>
          <w:sz w:val="26"/>
          <w:szCs w:val="26"/>
          <w:lang w:val="uk-UA"/>
        </w:rPr>
        <w:t xml:space="preserve"> сільська рада.</w:t>
      </w:r>
    </w:p>
    <w:p w:rsidR="00182925" w:rsidRPr="00834CC2" w:rsidRDefault="00182925" w:rsidP="00C73121">
      <w:pPr>
        <w:spacing w:after="0" w:line="240" w:lineRule="auto"/>
        <w:jc w:val="both"/>
        <w:rPr>
          <w:rFonts w:ascii="Times New Roman" w:hAnsi="Times New Roman" w:cs="Times New Roman"/>
          <w:sz w:val="16"/>
          <w:szCs w:val="16"/>
          <w:lang w:val="uk-UA"/>
        </w:rPr>
      </w:pPr>
    </w:p>
    <w:p w:rsidR="00182925" w:rsidRPr="00834CC2" w:rsidRDefault="00182925" w:rsidP="00C73121">
      <w:pPr>
        <w:spacing w:after="0" w:line="240" w:lineRule="auto"/>
        <w:jc w:val="both"/>
        <w:rPr>
          <w:rFonts w:ascii="Times New Roman" w:hAnsi="Times New Roman" w:cs="Times New Roman"/>
          <w:sz w:val="26"/>
          <w:szCs w:val="26"/>
          <w:lang w:val="uk-UA"/>
        </w:rPr>
      </w:pPr>
      <w:r w:rsidRPr="00834CC2">
        <w:rPr>
          <w:rFonts w:ascii="Times New Roman" w:hAnsi="Times New Roman" w:cs="Times New Roman"/>
          <w:b/>
          <w:sz w:val="26"/>
          <w:szCs w:val="26"/>
          <w:lang w:val="uk-UA"/>
        </w:rPr>
        <w:t>Розробник документа:</w:t>
      </w:r>
      <w:r w:rsidR="00834CC2" w:rsidRPr="00834CC2">
        <w:rPr>
          <w:rFonts w:ascii="Times New Roman" w:hAnsi="Times New Roman" w:cs="Times New Roman"/>
          <w:sz w:val="26"/>
          <w:szCs w:val="26"/>
          <w:lang w:val="uk-UA"/>
        </w:rPr>
        <w:t xml:space="preserve"> Відділ з юридичних питань В</w:t>
      </w:r>
      <w:r w:rsidRPr="00834CC2">
        <w:rPr>
          <w:rFonts w:ascii="Times New Roman" w:hAnsi="Times New Roman" w:cs="Times New Roman"/>
          <w:sz w:val="26"/>
          <w:szCs w:val="26"/>
          <w:lang w:val="uk-UA"/>
        </w:rPr>
        <w:t xml:space="preserve">иконавчого комітету </w:t>
      </w:r>
      <w:proofErr w:type="spellStart"/>
      <w:r w:rsidRPr="00834CC2">
        <w:rPr>
          <w:rFonts w:ascii="Times New Roman" w:hAnsi="Times New Roman" w:cs="Times New Roman"/>
          <w:sz w:val="26"/>
          <w:szCs w:val="26"/>
          <w:lang w:val="uk-UA"/>
        </w:rPr>
        <w:t>Студениківської</w:t>
      </w:r>
      <w:proofErr w:type="spellEnd"/>
      <w:r w:rsidRPr="00834CC2">
        <w:rPr>
          <w:rFonts w:ascii="Times New Roman" w:hAnsi="Times New Roman" w:cs="Times New Roman"/>
          <w:sz w:val="26"/>
          <w:szCs w:val="26"/>
          <w:lang w:val="uk-UA"/>
        </w:rPr>
        <w:t xml:space="preserve"> сільської ради.</w:t>
      </w:r>
    </w:p>
    <w:p w:rsidR="00182925" w:rsidRPr="00834CC2" w:rsidRDefault="00182925" w:rsidP="00C73121">
      <w:pPr>
        <w:spacing w:after="0" w:line="240" w:lineRule="auto"/>
        <w:jc w:val="both"/>
        <w:rPr>
          <w:rFonts w:ascii="Times New Roman" w:hAnsi="Times New Roman" w:cs="Times New Roman"/>
          <w:sz w:val="26"/>
          <w:szCs w:val="26"/>
          <w:lang w:val="uk-UA"/>
        </w:rPr>
      </w:pPr>
    </w:p>
    <w:p w:rsidR="00182925" w:rsidRPr="00834CC2" w:rsidRDefault="00834CC2" w:rsidP="00182925">
      <w:pPr>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Відповідно до частини першої статті</w:t>
      </w:r>
      <w:r w:rsidR="00182925" w:rsidRPr="00834CC2">
        <w:rPr>
          <w:rFonts w:ascii="Times New Roman" w:hAnsi="Times New Roman" w:cs="Times New Roman"/>
          <w:sz w:val="26"/>
          <w:szCs w:val="26"/>
          <w:lang w:val="uk-UA"/>
        </w:rPr>
        <w:t xml:space="preserve"> 10 Закону України «Про благоустрій населених пунктів» № 2807-VI від 06.09.2005</w:t>
      </w:r>
      <w:r w:rsidR="007B292D" w:rsidRPr="00834CC2">
        <w:rPr>
          <w:rFonts w:ascii="Times New Roman" w:hAnsi="Times New Roman" w:cs="Times New Roman"/>
          <w:sz w:val="26"/>
          <w:szCs w:val="26"/>
          <w:lang w:val="uk-UA"/>
        </w:rPr>
        <w:t xml:space="preserve"> (далі – Закон № 2807)</w:t>
      </w:r>
      <w:r w:rsidR="00182925" w:rsidRPr="00834CC2">
        <w:rPr>
          <w:rFonts w:ascii="Times New Roman" w:hAnsi="Times New Roman" w:cs="Times New Roman"/>
          <w:sz w:val="26"/>
          <w:szCs w:val="26"/>
          <w:lang w:val="uk-UA"/>
        </w:rPr>
        <w:t xml:space="preserve"> до повноважень сільських, селищних, міських рад належить затвердження правил благоустрою населених пунктів.</w:t>
      </w:r>
    </w:p>
    <w:p w:rsidR="007B292D" w:rsidRPr="00834CC2" w:rsidRDefault="007B292D" w:rsidP="00182925">
      <w:pPr>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Згідно із ст. 34 Закону № 2807 правила благоустрою території населеного пункту розробляються на підставі Типових правил благоустрою, які затверджуються центральним органом виконавчої влади, що забезпечує формування державної політики у сфері житлово-комунального господарства.</w:t>
      </w:r>
    </w:p>
    <w:p w:rsidR="00C73121" w:rsidRPr="00834CC2" w:rsidRDefault="007B292D" w:rsidP="001969AF">
      <w:pPr>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b/>
          <w:sz w:val="26"/>
          <w:szCs w:val="26"/>
          <w:lang w:val="uk-UA"/>
        </w:rPr>
        <w:t xml:space="preserve">Правила благоустрою території </w:t>
      </w:r>
      <w:proofErr w:type="spellStart"/>
      <w:r w:rsidRPr="00834CC2">
        <w:rPr>
          <w:rFonts w:ascii="Times New Roman" w:hAnsi="Times New Roman" w:cs="Times New Roman"/>
          <w:b/>
          <w:sz w:val="26"/>
          <w:szCs w:val="26"/>
          <w:lang w:val="uk-UA"/>
        </w:rPr>
        <w:t>Студениківської</w:t>
      </w:r>
      <w:proofErr w:type="spellEnd"/>
      <w:r w:rsidRPr="00834CC2">
        <w:rPr>
          <w:rFonts w:ascii="Times New Roman" w:hAnsi="Times New Roman" w:cs="Times New Roman"/>
          <w:b/>
          <w:sz w:val="26"/>
          <w:szCs w:val="26"/>
          <w:lang w:val="uk-UA"/>
        </w:rPr>
        <w:t xml:space="preserve"> сільської територіальної громади</w:t>
      </w:r>
      <w:r w:rsidRPr="00834CC2">
        <w:rPr>
          <w:rFonts w:ascii="Times New Roman" w:hAnsi="Times New Roman" w:cs="Times New Roman"/>
          <w:sz w:val="26"/>
          <w:szCs w:val="26"/>
          <w:lang w:val="uk-UA"/>
        </w:rPr>
        <w:t xml:space="preserve"> </w:t>
      </w:r>
      <w:r w:rsidR="001969AF" w:rsidRPr="00834CC2">
        <w:rPr>
          <w:rFonts w:ascii="Times New Roman" w:hAnsi="Times New Roman" w:cs="Times New Roman"/>
          <w:sz w:val="26"/>
          <w:szCs w:val="26"/>
          <w:lang w:val="uk-UA"/>
        </w:rPr>
        <w:t>– нормативно-правовий акт, яким встановлюються загальні вимоги</w:t>
      </w:r>
      <w:r w:rsidR="00967EE5" w:rsidRPr="00834CC2">
        <w:rPr>
          <w:rFonts w:ascii="Times New Roman" w:hAnsi="Times New Roman" w:cs="Times New Roman"/>
          <w:sz w:val="26"/>
          <w:szCs w:val="26"/>
          <w:lang w:val="uk-UA"/>
        </w:rPr>
        <w:t xml:space="preserve"> </w:t>
      </w:r>
      <w:r w:rsidR="001969AF" w:rsidRPr="00834CC2">
        <w:rPr>
          <w:rFonts w:ascii="Times New Roman" w:hAnsi="Times New Roman" w:cs="Times New Roman"/>
          <w:sz w:val="26"/>
          <w:szCs w:val="26"/>
          <w:lang w:val="uk-UA"/>
        </w:rPr>
        <w:t>щодо благоустрою території. Правила розроблені у відповідності до типових правил благоустрою населеного пункту затверджених наказом Міністерства регіонального розвитку, будівництва та комунального господарства України від 27.11.2017 року № 310, Законів України «Про благоустрій населених пунктів»</w:t>
      </w:r>
      <w:r w:rsidR="004F7EC5" w:rsidRPr="00834CC2">
        <w:rPr>
          <w:rFonts w:ascii="Times New Roman" w:hAnsi="Times New Roman" w:cs="Times New Roman"/>
          <w:sz w:val="26"/>
          <w:szCs w:val="26"/>
          <w:lang w:val="uk-UA"/>
        </w:rPr>
        <w:t>, «Про місцеве самоврядування в Україні», «Про органи самоорганізації населення», «Про охорону природнього навколишнього середовища», «Про забезпечення санітарного та епідеміологічного благополуччя населення», «Про відходи»</w:t>
      </w:r>
      <w:r w:rsidR="00EC579E" w:rsidRPr="00834CC2">
        <w:rPr>
          <w:rFonts w:ascii="Times New Roman" w:hAnsi="Times New Roman" w:cs="Times New Roman"/>
          <w:sz w:val="26"/>
          <w:szCs w:val="26"/>
          <w:lang w:val="uk-UA"/>
        </w:rPr>
        <w:t xml:space="preserve">, інших нормативно-правових актів та спрямовані на створення умов, сприятливих для життєдіяльності людини, і є обов’язковими для виконання на території </w:t>
      </w:r>
      <w:proofErr w:type="spellStart"/>
      <w:r w:rsidR="00EC579E" w:rsidRPr="00834CC2">
        <w:rPr>
          <w:rFonts w:ascii="Times New Roman" w:hAnsi="Times New Roman" w:cs="Times New Roman"/>
          <w:sz w:val="26"/>
          <w:szCs w:val="26"/>
          <w:lang w:val="uk-UA"/>
        </w:rPr>
        <w:t>Студениківської</w:t>
      </w:r>
      <w:proofErr w:type="spellEnd"/>
      <w:r w:rsidR="00EC579E" w:rsidRPr="00834CC2">
        <w:rPr>
          <w:rFonts w:ascii="Times New Roman" w:hAnsi="Times New Roman" w:cs="Times New Roman"/>
          <w:sz w:val="26"/>
          <w:szCs w:val="26"/>
          <w:lang w:val="uk-UA"/>
        </w:rPr>
        <w:t xml:space="preserve"> сільської територіальної громади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органами самоорганізації населення, а також громадянами, в тому числі іноземцями та особами без громадянства.</w:t>
      </w:r>
    </w:p>
    <w:p w:rsidR="00EC579E" w:rsidRPr="00834CC2" w:rsidRDefault="00EC579E" w:rsidP="001969AF">
      <w:pPr>
        <w:spacing w:after="0" w:line="240" w:lineRule="auto"/>
        <w:ind w:firstLine="567"/>
        <w:jc w:val="both"/>
        <w:rPr>
          <w:rFonts w:ascii="Times New Roman" w:hAnsi="Times New Roman" w:cs="Times New Roman"/>
          <w:sz w:val="26"/>
          <w:szCs w:val="26"/>
          <w:lang w:val="uk-UA"/>
        </w:rPr>
      </w:pPr>
    </w:p>
    <w:p w:rsidR="00EC579E" w:rsidRPr="00834CC2" w:rsidRDefault="00EC579E" w:rsidP="00EC579E">
      <w:pPr>
        <w:spacing w:after="0" w:line="240" w:lineRule="auto"/>
        <w:ind w:firstLine="567"/>
        <w:rPr>
          <w:rFonts w:ascii="Times New Roman" w:hAnsi="Times New Roman" w:cs="Times New Roman"/>
          <w:b/>
          <w:sz w:val="26"/>
          <w:szCs w:val="26"/>
          <w:lang w:val="uk-UA"/>
        </w:rPr>
      </w:pPr>
      <w:r w:rsidRPr="00834CC2">
        <w:rPr>
          <w:rFonts w:ascii="Times New Roman" w:hAnsi="Times New Roman" w:cs="Times New Roman"/>
          <w:b/>
          <w:sz w:val="26"/>
          <w:szCs w:val="26"/>
          <w:lang w:val="uk-UA"/>
        </w:rPr>
        <w:t>Причина виникнення проблеми</w:t>
      </w:r>
    </w:p>
    <w:p w:rsidR="00BF7B8E" w:rsidRPr="00834CC2" w:rsidRDefault="00EC579E" w:rsidP="00834CC2">
      <w:pPr>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Причинами виникнення заз</w:t>
      </w:r>
      <w:bookmarkStart w:id="0" w:name="_GoBack"/>
      <w:bookmarkEnd w:id="0"/>
      <w:r w:rsidRPr="00834CC2">
        <w:rPr>
          <w:rFonts w:ascii="Times New Roman" w:hAnsi="Times New Roman" w:cs="Times New Roman"/>
          <w:sz w:val="26"/>
          <w:szCs w:val="26"/>
          <w:lang w:val="uk-UA"/>
        </w:rPr>
        <w:t>наченої проблеми є недостатнє регулювання відносин у сфері благоустрою</w:t>
      </w:r>
      <w:r w:rsidR="00BF7B8E" w:rsidRPr="00834CC2">
        <w:rPr>
          <w:rFonts w:ascii="Times New Roman" w:hAnsi="Times New Roman" w:cs="Times New Roman"/>
          <w:sz w:val="26"/>
          <w:szCs w:val="26"/>
          <w:lang w:val="uk-UA"/>
        </w:rPr>
        <w:t xml:space="preserve">, зокрема чіткого нормативного регулювання прав і обов’язків суб’єктів цієї сфери, норм та правил поведінки, що забезпечують утримання об’єктів благоустрою належним чином, за порушення яких можливо притягнути винних осіб до відповідальності. </w:t>
      </w:r>
      <w:r w:rsidR="00BF7B8E" w:rsidRPr="00834CC2">
        <w:rPr>
          <w:rFonts w:ascii="Times New Roman" w:hAnsi="Times New Roman" w:cs="Times New Roman"/>
          <w:sz w:val="26"/>
          <w:szCs w:val="26"/>
          <w:lang w:val="uk-UA"/>
        </w:rPr>
        <w:lastRenderedPageBreak/>
        <w:t>Ситуація яка є натепер не забезпечує в повному обсязі виконання вимог чинних нормативно-правових актів у сфері благоустрою, а тому не можуть об’єктивно, за допомогою сьогоднішніх важелів впливу, регулювати відносини, що виникають у сфері благоустрою.</w:t>
      </w:r>
    </w:p>
    <w:p w:rsidR="00BF7B8E" w:rsidRPr="00834CC2" w:rsidRDefault="00BF7B8E" w:rsidP="00EC579E">
      <w:pPr>
        <w:spacing w:after="0" w:line="240" w:lineRule="auto"/>
        <w:ind w:firstLine="567"/>
        <w:rPr>
          <w:rFonts w:ascii="Times New Roman" w:hAnsi="Times New Roman" w:cs="Times New Roman"/>
          <w:b/>
          <w:sz w:val="26"/>
          <w:szCs w:val="26"/>
          <w:lang w:val="uk-UA"/>
        </w:rPr>
      </w:pPr>
    </w:p>
    <w:p w:rsidR="00BF7B8E" w:rsidRPr="00834CC2" w:rsidRDefault="00BF7B8E" w:rsidP="00EC579E">
      <w:pPr>
        <w:spacing w:after="0" w:line="240" w:lineRule="auto"/>
        <w:ind w:firstLine="567"/>
        <w:rPr>
          <w:rFonts w:ascii="Times New Roman" w:hAnsi="Times New Roman" w:cs="Times New Roman"/>
          <w:b/>
          <w:sz w:val="26"/>
          <w:szCs w:val="26"/>
          <w:lang w:val="uk-UA"/>
        </w:rPr>
      </w:pPr>
      <w:r w:rsidRPr="00834CC2">
        <w:rPr>
          <w:rFonts w:ascii="Times New Roman" w:hAnsi="Times New Roman" w:cs="Times New Roman"/>
          <w:b/>
          <w:sz w:val="26"/>
          <w:szCs w:val="26"/>
          <w:lang w:val="uk-UA"/>
        </w:rPr>
        <w:t>Підтвердження важливості проблеми</w:t>
      </w:r>
    </w:p>
    <w:p w:rsidR="002A0289" w:rsidRPr="00834CC2" w:rsidRDefault="00BF7B8E" w:rsidP="002A0289">
      <w:pPr>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 Загальна проблема</w:t>
      </w:r>
      <w:r w:rsidR="004C073B" w:rsidRPr="00834CC2">
        <w:rPr>
          <w:rFonts w:ascii="Times New Roman" w:hAnsi="Times New Roman" w:cs="Times New Roman"/>
          <w:sz w:val="26"/>
          <w:szCs w:val="26"/>
          <w:lang w:val="uk-UA"/>
        </w:rPr>
        <w:t xml:space="preserve"> підтримки благоустрою на території </w:t>
      </w:r>
      <w:proofErr w:type="spellStart"/>
      <w:r w:rsidR="004C073B" w:rsidRPr="00834CC2">
        <w:rPr>
          <w:rFonts w:ascii="Times New Roman" w:hAnsi="Times New Roman" w:cs="Times New Roman"/>
          <w:sz w:val="26"/>
          <w:szCs w:val="26"/>
          <w:lang w:val="uk-UA"/>
        </w:rPr>
        <w:t>Студениківської</w:t>
      </w:r>
      <w:proofErr w:type="spellEnd"/>
      <w:r w:rsidR="004C073B" w:rsidRPr="00834CC2">
        <w:rPr>
          <w:rFonts w:ascii="Times New Roman" w:hAnsi="Times New Roman" w:cs="Times New Roman"/>
          <w:sz w:val="26"/>
          <w:szCs w:val="26"/>
          <w:lang w:val="uk-UA"/>
        </w:rPr>
        <w:t xml:space="preserve"> сільської територіальної громади, покращення санітарного стану є актуальною. Існує значна кількість порушень з боку громадян, підприємств та суб’єктів господарювання у сфері благоустрою населених пунктів. До того ж, мають місце окремі факти </w:t>
      </w:r>
      <w:r w:rsidR="002A0289" w:rsidRPr="00834CC2">
        <w:rPr>
          <w:rFonts w:ascii="Times New Roman" w:hAnsi="Times New Roman" w:cs="Times New Roman"/>
          <w:sz w:val="26"/>
          <w:szCs w:val="26"/>
          <w:lang w:val="uk-UA"/>
        </w:rPr>
        <w:t>самовільного знищення та пошкодження зелених насаджень.</w:t>
      </w:r>
    </w:p>
    <w:p w:rsidR="002A0289" w:rsidRPr="00834CC2" w:rsidRDefault="002A0289" w:rsidP="002A0289">
      <w:pPr>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Представленим регуляторним актом пропонується розв’язати такі проблеми:</w:t>
      </w:r>
    </w:p>
    <w:p w:rsidR="00EC579E" w:rsidRPr="00834CC2" w:rsidRDefault="002A0289" w:rsidP="002A0289">
      <w:pPr>
        <w:pStyle w:val="a3"/>
        <w:numPr>
          <w:ilvl w:val="0"/>
          <w:numId w:val="1"/>
        </w:numPr>
        <w:spacing w:after="0" w:line="240" w:lineRule="auto"/>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відсутність чітко встановлених правил і норм поведінки фізичних і юридичних осіб у сфері благоустрою;</w:t>
      </w:r>
    </w:p>
    <w:p w:rsidR="002A0289" w:rsidRPr="00834CC2" w:rsidRDefault="002A0289" w:rsidP="002A0289">
      <w:pPr>
        <w:pStyle w:val="a3"/>
        <w:numPr>
          <w:ilvl w:val="0"/>
          <w:numId w:val="1"/>
        </w:numPr>
        <w:spacing w:after="0" w:line="240" w:lineRule="auto"/>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неналежне утримання елементів та об’єктів благоустрою;</w:t>
      </w:r>
    </w:p>
    <w:p w:rsidR="002A0289" w:rsidRPr="00834CC2" w:rsidRDefault="002A0289" w:rsidP="002A0289">
      <w:pPr>
        <w:pStyle w:val="a3"/>
        <w:numPr>
          <w:ilvl w:val="0"/>
          <w:numId w:val="1"/>
        </w:numPr>
        <w:spacing w:after="0" w:line="240" w:lineRule="auto"/>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наявність стихійних сміттєзвалищ;</w:t>
      </w:r>
    </w:p>
    <w:p w:rsidR="002A0289" w:rsidRPr="00834CC2" w:rsidRDefault="002A0289" w:rsidP="002A0289">
      <w:pPr>
        <w:pStyle w:val="a3"/>
        <w:numPr>
          <w:ilvl w:val="0"/>
          <w:numId w:val="1"/>
        </w:numPr>
        <w:spacing w:after="0" w:line="240" w:lineRule="auto"/>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несанкціоноване розміщення будівельних матеріалів на </w:t>
      </w:r>
      <w:r w:rsidR="00784FE2" w:rsidRPr="00834CC2">
        <w:rPr>
          <w:rFonts w:ascii="Times New Roman" w:hAnsi="Times New Roman" w:cs="Times New Roman"/>
          <w:sz w:val="26"/>
          <w:szCs w:val="26"/>
          <w:lang w:val="uk-UA"/>
        </w:rPr>
        <w:t>території прилеглій до прибуд</w:t>
      </w:r>
      <w:r w:rsidR="00881F35" w:rsidRPr="00834CC2">
        <w:rPr>
          <w:rFonts w:ascii="Times New Roman" w:hAnsi="Times New Roman" w:cs="Times New Roman"/>
          <w:sz w:val="26"/>
          <w:szCs w:val="26"/>
          <w:lang w:val="uk-UA"/>
        </w:rPr>
        <w:t>инкової території</w:t>
      </w:r>
      <w:r w:rsidR="00784FE2" w:rsidRPr="00834CC2">
        <w:rPr>
          <w:rFonts w:ascii="Times New Roman" w:hAnsi="Times New Roman" w:cs="Times New Roman"/>
          <w:sz w:val="26"/>
          <w:szCs w:val="26"/>
          <w:lang w:val="uk-UA"/>
        </w:rPr>
        <w:t xml:space="preserve"> житлової та громадської забудови;</w:t>
      </w:r>
    </w:p>
    <w:p w:rsidR="00784FE2" w:rsidRPr="00834CC2" w:rsidRDefault="00784FE2" w:rsidP="002A0289">
      <w:pPr>
        <w:pStyle w:val="a3"/>
        <w:numPr>
          <w:ilvl w:val="0"/>
          <w:numId w:val="1"/>
        </w:numPr>
        <w:spacing w:after="0" w:line="240" w:lineRule="auto"/>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складування побутових відходів та будівельного сміття у невідведених для цього місцях;</w:t>
      </w:r>
    </w:p>
    <w:p w:rsidR="00031830" w:rsidRPr="00834CC2" w:rsidRDefault="00031830" w:rsidP="002A0289">
      <w:pPr>
        <w:pStyle w:val="a3"/>
        <w:numPr>
          <w:ilvl w:val="0"/>
          <w:numId w:val="1"/>
        </w:numPr>
        <w:spacing w:after="0" w:line="240" w:lineRule="auto"/>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самовільне знищення дерев, кущів та інших зелених насаджень;</w:t>
      </w:r>
    </w:p>
    <w:p w:rsidR="00031830" w:rsidRPr="00834CC2" w:rsidRDefault="00031830" w:rsidP="002A0289">
      <w:pPr>
        <w:pStyle w:val="a3"/>
        <w:numPr>
          <w:ilvl w:val="0"/>
          <w:numId w:val="1"/>
        </w:numPr>
        <w:spacing w:after="0" w:line="240" w:lineRule="auto"/>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невиконання робіт з відновлення благоустрою після проведення земляних та інших робіт;</w:t>
      </w:r>
    </w:p>
    <w:p w:rsidR="002D452D" w:rsidRPr="00834CC2" w:rsidRDefault="00031830" w:rsidP="00031830">
      <w:pPr>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Визначені проблеми справляють негативний вплив в першу чергу на громадян</w:t>
      </w:r>
      <w:r w:rsidR="002D452D" w:rsidRPr="00834CC2">
        <w:rPr>
          <w:rFonts w:ascii="Times New Roman" w:hAnsi="Times New Roman" w:cs="Times New Roman"/>
          <w:sz w:val="26"/>
          <w:szCs w:val="26"/>
          <w:lang w:val="uk-UA"/>
        </w:rPr>
        <w:t>, а також на суб’єктів господарювання та органи місцевого самоврядування. Не забезпечують сприятливе для життєдіяльності середовище, в тому числі захист довкілля, збереження елементів та об’єктів благоустрою та естетичний вигляд.</w:t>
      </w:r>
    </w:p>
    <w:p w:rsidR="002D452D" w:rsidRPr="00834CC2" w:rsidRDefault="002D452D" w:rsidP="00031830">
      <w:pPr>
        <w:spacing w:after="0" w:line="240" w:lineRule="auto"/>
        <w:ind w:firstLine="567"/>
        <w:jc w:val="both"/>
        <w:rPr>
          <w:rFonts w:ascii="Times New Roman" w:hAnsi="Times New Roman" w:cs="Times New Roman"/>
          <w:sz w:val="26"/>
          <w:szCs w:val="26"/>
          <w:lang w:val="uk-UA"/>
        </w:rPr>
      </w:pPr>
    </w:p>
    <w:p w:rsidR="002D452D" w:rsidRPr="00834CC2" w:rsidRDefault="002D452D" w:rsidP="002D452D">
      <w:pPr>
        <w:spacing w:after="0" w:line="240" w:lineRule="auto"/>
        <w:ind w:firstLine="567"/>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Основні групи (підгрупи), на які проблема справляє вплив:</w:t>
      </w:r>
    </w:p>
    <w:tbl>
      <w:tblPr>
        <w:tblStyle w:val="a4"/>
        <w:tblW w:w="0" w:type="auto"/>
        <w:tblLook w:val="04A0" w:firstRow="1" w:lastRow="0" w:firstColumn="1" w:lastColumn="0" w:noHBand="0" w:noVBand="1"/>
      </w:tblPr>
      <w:tblGrid>
        <w:gridCol w:w="3257"/>
        <w:gridCol w:w="3257"/>
        <w:gridCol w:w="3257"/>
      </w:tblGrid>
      <w:tr w:rsidR="00834CC2" w:rsidRPr="00834CC2" w:rsidTr="002D452D">
        <w:tc>
          <w:tcPr>
            <w:tcW w:w="3257" w:type="dxa"/>
          </w:tcPr>
          <w:p w:rsidR="002D452D" w:rsidRPr="00834CC2" w:rsidRDefault="002D452D" w:rsidP="00031830">
            <w:pPr>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Групи (підгрупи)</w:t>
            </w:r>
          </w:p>
        </w:tc>
        <w:tc>
          <w:tcPr>
            <w:tcW w:w="3257" w:type="dxa"/>
          </w:tcPr>
          <w:p w:rsidR="002D452D" w:rsidRPr="00834CC2" w:rsidRDefault="002D452D" w:rsidP="00031830">
            <w:pPr>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Так</w:t>
            </w:r>
          </w:p>
        </w:tc>
        <w:tc>
          <w:tcPr>
            <w:tcW w:w="3257" w:type="dxa"/>
          </w:tcPr>
          <w:p w:rsidR="002D452D" w:rsidRPr="00834CC2" w:rsidRDefault="002D452D" w:rsidP="00031830">
            <w:pPr>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Ні</w:t>
            </w:r>
          </w:p>
        </w:tc>
      </w:tr>
      <w:tr w:rsidR="00834CC2" w:rsidRPr="00834CC2" w:rsidTr="002D452D">
        <w:tc>
          <w:tcPr>
            <w:tcW w:w="3257" w:type="dxa"/>
          </w:tcPr>
          <w:p w:rsidR="002D452D" w:rsidRPr="00834CC2" w:rsidRDefault="002D452D" w:rsidP="00031830">
            <w:pPr>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Громадяни</w:t>
            </w:r>
          </w:p>
        </w:tc>
        <w:tc>
          <w:tcPr>
            <w:tcW w:w="3257" w:type="dxa"/>
          </w:tcPr>
          <w:p w:rsidR="002D452D" w:rsidRPr="00834CC2" w:rsidRDefault="002D452D" w:rsidP="00031830">
            <w:pPr>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w:t>
            </w:r>
          </w:p>
        </w:tc>
        <w:tc>
          <w:tcPr>
            <w:tcW w:w="3257" w:type="dxa"/>
          </w:tcPr>
          <w:p w:rsidR="002D452D" w:rsidRPr="00834CC2" w:rsidRDefault="002D452D" w:rsidP="00031830">
            <w:pPr>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w:t>
            </w:r>
          </w:p>
        </w:tc>
      </w:tr>
      <w:tr w:rsidR="00834CC2" w:rsidRPr="00834CC2" w:rsidTr="002D452D">
        <w:tc>
          <w:tcPr>
            <w:tcW w:w="3257" w:type="dxa"/>
          </w:tcPr>
          <w:p w:rsidR="002D452D" w:rsidRPr="00834CC2" w:rsidRDefault="002D452D" w:rsidP="002D452D">
            <w:pPr>
              <w:rPr>
                <w:rFonts w:ascii="Times New Roman" w:hAnsi="Times New Roman" w:cs="Times New Roman"/>
                <w:sz w:val="26"/>
                <w:szCs w:val="26"/>
                <w:lang w:val="uk-UA"/>
              </w:rPr>
            </w:pPr>
            <w:r w:rsidRPr="00834CC2">
              <w:rPr>
                <w:rFonts w:ascii="Times New Roman" w:hAnsi="Times New Roman" w:cs="Times New Roman"/>
                <w:sz w:val="26"/>
                <w:szCs w:val="26"/>
                <w:lang w:val="uk-UA"/>
              </w:rPr>
              <w:t>Органи місцевого самоврядування</w:t>
            </w:r>
          </w:p>
        </w:tc>
        <w:tc>
          <w:tcPr>
            <w:tcW w:w="3257" w:type="dxa"/>
          </w:tcPr>
          <w:p w:rsidR="002D452D" w:rsidRPr="00834CC2" w:rsidRDefault="002D452D" w:rsidP="00031830">
            <w:pPr>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w:t>
            </w:r>
          </w:p>
        </w:tc>
        <w:tc>
          <w:tcPr>
            <w:tcW w:w="3257" w:type="dxa"/>
          </w:tcPr>
          <w:p w:rsidR="002D452D" w:rsidRPr="00834CC2" w:rsidRDefault="002D452D" w:rsidP="00031830">
            <w:pPr>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w:t>
            </w:r>
          </w:p>
        </w:tc>
      </w:tr>
      <w:tr w:rsidR="002D452D" w:rsidRPr="00834CC2" w:rsidTr="002D452D">
        <w:tc>
          <w:tcPr>
            <w:tcW w:w="3257" w:type="dxa"/>
          </w:tcPr>
          <w:p w:rsidR="002D452D" w:rsidRPr="00834CC2" w:rsidRDefault="002D452D" w:rsidP="002D452D">
            <w:pPr>
              <w:rPr>
                <w:rFonts w:ascii="Times New Roman" w:hAnsi="Times New Roman" w:cs="Times New Roman"/>
                <w:sz w:val="26"/>
                <w:szCs w:val="26"/>
                <w:lang w:val="uk-UA"/>
              </w:rPr>
            </w:pPr>
            <w:r w:rsidRPr="00834CC2">
              <w:rPr>
                <w:rFonts w:ascii="Times New Roman" w:hAnsi="Times New Roman" w:cs="Times New Roman"/>
                <w:sz w:val="26"/>
                <w:szCs w:val="26"/>
                <w:lang w:val="uk-UA"/>
              </w:rPr>
              <w:t>Суб’єкти господарювання, в тому числі суб’єкти малого підприємництва</w:t>
            </w:r>
          </w:p>
        </w:tc>
        <w:tc>
          <w:tcPr>
            <w:tcW w:w="3257" w:type="dxa"/>
          </w:tcPr>
          <w:p w:rsidR="002D452D" w:rsidRPr="00834CC2" w:rsidRDefault="002D452D" w:rsidP="00031830">
            <w:pPr>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w:t>
            </w:r>
          </w:p>
        </w:tc>
        <w:tc>
          <w:tcPr>
            <w:tcW w:w="3257" w:type="dxa"/>
          </w:tcPr>
          <w:p w:rsidR="002D452D" w:rsidRPr="00834CC2" w:rsidRDefault="002D452D" w:rsidP="00031830">
            <w:pPr>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w:t>
            </w:r>
          </w:p>
        </w:tc>
      </w:tr>
    </w:tbl>
    <w:p w:rsidR="00784FE2" w:rsidRPr="00834CC2" w:rsidRDefault="00784FE2" w:rsidP="00031830">
      <w:pPr>
        <w:spacing w:after="0" w:line="240" w:lineRule="auto"/>
        <w:ind w:firstLine="567"/>
        <w:jc w:val="both"/>
        <w:rPr>
          <w:rFonts w:ascii="Times New Roman" w:hAnsi="Times New Roman" w:cs="Times New Roman"/>
          <w:sz w:val="26"/>
          <w:szCs w:val="26"/>
          <w:lang w:val="uk-UA"/>
        </w:rPr>
      </w:pPr>
    </w:p>
    <w:p w:rsidR="00627595" w:rsidRPr="00834CC2" w:rsidRDefault="00E00FEA" w:rsidP="00031830">
      <w:pPr>
        <w:spacing w:after="0" w:line="240" w:lineRule="auto"/>
        <w:ind w:firstLine="567"/>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Обґрунтування</w:t>
      </w:r>
      <w:r w:rsidR="00627595" w:rsidRPr="00834CC2">
        <w:rPr>
          <w:rFonts w:ascii="Times New Roman" w:hAnsi="Times New Roman" w:cs="Times New Roman"/>
          <w:b/>
          <w:sz w:val="26"/>
          <w:szCs w:val="26"/>
          <w:lang w:val="uk-UA"/>
        </w:rPr>
        <w:t xml:space="preserve"> неможливості вирішення проблеми за допомогою ринкових механізмів:</w:t>
      </w:r>
    </w:p>
    <w:p w:rsidR="00627595" w:rsidRPr="00834CC2" w:rsidRDefault="00627595" w:rsidP="00031830">
      <w:pPr>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Застосування ринкових механізмів </w:t>
      </w:r>
      <w:r w:rsidR="00265E61" w:rsidRPr="00834CC2">
        <w:rPr>
          <w:rFonts w:ascii="Times New Roman" w:hAnsi="Times New Roman" w:cs="Times New Roman"/>
          <w:sz w:val="26"/>
          <w:szCs w:val="26"/>
          <w:lang w:val="uk-UA"/>
        </w:rPr>
        <w:t xml:space="preserve">для вирішення цієї </w:t>
      </w:r>
      <w:r w:rsidR="00E00FEA" w:rsidRPr="00834CC2">
        <w:rPr>
          <w:rFonts w:ascii="Times New Roman" w:hAnsi="Times New Roman" w:cs="Times New Roman"/>
          <w:sz w:val="26"/>
          <w:szCs w:val="26"/>
          <w:lang w:val="uk-UA"/>
        </w:rPr>
        <w:t>проблеми є неможливим, оскільки здійснення вищезазначених заходів є засобом державного регулювання та відповідно відноситься до компетенції органів міського самоврядування (сільських, селищних, міських рад).</w:t>
      </w:r>
    </w:p>
    <w:p w:rsidR="00E00FEA" w:rsidRPr="00834CC2" w:rsidRDefault="00E00FEA" w:rsidP="00031830">
      <w:pPr>
        <w:spacing w:after="0" w:line="240" w:lineRule="auto"/>
        <w:ind w:firstLine="567"/>
        <w:jc w:val="both"/>
        <w:rPr>
          <w:rFonts w:ascii="Times New Roman" w:hAnsi="Times New Roman" w:cs="Times New Roman"/>
          <w:sz w:val="26"/>
          <w:szCs w:val="26"/>
          <w:lang w:val="uk-UA"/>
        </w:rPr>
      </w:pPr>
    </w:p>
    <w:p w:rsidR="00E00FEA" w:rsidRPr="00834CC2" w:rsidRDefault="00E00FEA" w:rsidP="00031830">
      <w:pPr>
        <w:spacing w:after="0" w:line="240" w:lineRule="auto"/>
        <w:ind w:firstLine="567"/>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Обґрунтування неможливості вирішення проблеми за допомогою діючих регуляторних актів:</w:t>
      </w:r>
    </w:p>
    <w:p w:rsidR="00CA5806" w:rsidRPr="00834CC2" w:rsidRDefault="00E00FEA" w:rsidP="00031830">
      <w:pPr>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Зазначена проблема не може бути вирішена за допомогою діючих регуляторних актів або чинних законодавчих та нормативно-правових актів органів вищих органів державної </w:t>
      </w:r>
      <w:r w:rsidRPr="00834CC2">
        <w:rPr>
          <w:rFonts w:ascii="Times New Roman" w:hAnsi="Times New Roman" w:cs="Times New Roman"/>
          <w:sz w:val="26"/>
          <w:szCs w:val="26"/>
          <w:lang w:val="uk-UA"/>
        </w:rPr>
        <w:lastRenderedPageBreak/>
        <w:t xml:space="preserve">влади, оскільки існує пряма вказівка Закону на необхідність </w:t>
      </w:r>
      <w:r w:rsidR="00CA5806" w:rsidRPr="00834CC2">
        <w:rPr>
          <w:rFonts w:ascii="Times New Roman" w:hAnsi="Times New Roman" w:cs="Times New Roman"/>
          <w:sz w:val="26"/>
          <w:szCs w:val="26"/>
          <w:lang w:val="uk-UA"/>
        </w:rPr>
        <w:t>розв’язання таких проблем саме розробленням регуляторних актів.</w:t>
      </w:r>
    </w:p>
    <w:p w:rsidR="00E00FEA" w:rsidRPr="00834CC2" w:rsidRDefault="00CA5806" w:rsidP="00031830">
      <w:pPr>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Зокрема </w:t>
      </w:r>
      <w:r w:rsidR="00834CC2">
        <w:rPr>
          <w:rFonts w:ascii="Times New Roman" w:hAnsi="Times New Roman" w:cs="Times New Roman"/>
          <w:sz w:val="26"/>
          <w:szCs w:val="26"/>
          <w:lang w:val="uk-UA"/>
        </w:rPr>
        <w:t xml:space="preserve">згідно </w:t>
      </w:r>
      <w:r w:rsidRPr="00834CC2">
        <w:rPr>
          <w:rFonts w:ascii="Times New Roman" w:hAnsi="Times New Roman" w:cs="Times New Roman"/>
          <w:sz w:val="26"/>
          <w:szCs w:val="26"/>
          <w:lang w:val="uk-UA"/>
        </w:rPr>
        <w:t>ст. 34 Закону України «Про</w:t>
      </w:r>
      <w:r w:rsidR="00834CC2">
        <w:rPr>
          <w:rFonts w:ascii="Times New Roman" w:hAnsi="Times New Roman" w:cs="Times New Roman"/>
          <w:sz w:val="26"/>
          <w:szCs w:val="26"/>
          <w:lang w:val="uk-UA"/>
        </w:rPr>
        <w:t xml:space="preserve"> благоустрій населених пунктів»,</w:t>
      </w:r>
      <w:r w:rsidR="00834CC2">
        <w:rPr>
          <w:rFonts w:ascii="Times New Roman" w:hAnsi="Times New Roman" w:cs="Times New Roman"/>
          <w:sz w:val="26"/>
          <w:szCs w:val="26"/>
          <w:shd w:val="clear" w:color="auto" w:fill="FFFFFF"/>
          <w:lang w:val="uk-UA"/>
        </w:rPr>
        <w:t xml:space="preserve"> п</w:t>
      </w:r>
      <w:r w:rsidRPr="00834CC2">
        <w:rPr>
          <w:rFonts w:ascii="Times New Roman" w:hAnsi="Times New Roman" w:cs="Times New Roman"/>
          <w:sz w:val="26"/>
          <w:szCs w:val="26"/>
          <w:shd w:val="clear" w:color="auto" w:fill="FFFFFF"/>
          <w:lang w:val="uk-UA"/>
        </w:rPr>
        <w:t>равила благоустрою території населеного пункту - це нормативно-правовий акт, яким установлюється порядок благоустрою та утримання території та об'єктів благоустрою Правила розробляються для всіх сіл, селищ, міст і затверджуються відповідними органами місцевого самоврядування. Орган місцевого самоврядування забезпечує вільний доступ населення та всіх зацікавлених до затверджених Правил.</w:t>
      </w:r>
    </w:p>
    <w:p w:rsidR="00627595" w:rsidRPr="00834CC2" w:rsidRDefault="00627595" w:rsidP="00031830">
      <w:pPr>
        <w:spacing w:after="0" w:line="240" w:lineRule="auto"/>
        <w:ind w:firstLine="567"/>
        <w:jc w:val="both"/>
        <w:rPr>
          <w:rFonts w:ascii="Times New Roman" w:hAnsi="Times New Roman" w:cs="Times New Roman"/>
          <w:b/>
          <w:sz w:val="26"/>
          <w:szCs w:val="26"/>
          <w:lang w:val="uk-UA"/>
        </w:rPr>
      </w:pPr>
    </w:p>
    <w:p w:rsidR="002D452D" w:rsidRPr="00834CC2" w:rsidRDefault="00967EE5" w:rsidP="00031830">
      <w:pPr>
        <w:spacing w:after="0" w:line="240" w:lineRule="auto"/>
        <w:ind w:firstLine="567"/>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 xml:space="preserve">ІІ. </w:t>
      </w:r>
      <w:r w:rsidR="002D452D" w:rsidRPr="00834CC2">
        <w:rPr>
          <w:rFonts w:ascii="Times New Roman" w:hAnsi="Times New Roman" w:cs="Times New Roman"/>
          <w:b/>
          <w:sz w:val="26"/>
          <w:szCs w:val="26"/>
          <w:lang w:val="uk-UA"/>
        </w:rPr>
        <w:t>Цілі регулювання</w:t>
      </w:r>
    </w:p>
    <w:p w:rsidR="002D452D" w:rsidRPr="00834CC2" w:rsidRDefault="002D452D" w:rsidP="00031830">
      <w:pPr>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Метою запропонованого регуляторного акту </w:t>
      </w:r>
      <w:r w:rsidR="00D6300D" w:rsidRPr="00834CC2">
        <w:rPr>
          <w:rFonts w:ascii="Times New Roman" w:hAnsi="Times New Roman" w:cs="Times New Roman"/>
          <w:sz w:val="26"/>
          <w:szCs w:val="26"/>
          <w:lang w:val="uk-UA"/>
        </w:rPr>
        <w:t xml:space="preserve">є встановлення законодавчо учасників правовідносин у сфері благоустрою </w:t>
      </w:r>
      <w:r w:rsidR="00087450" w:rsidRPr="00834CC2">
        <w:rPr>
          <w:rFonts w:ascii="Times New Roman" w:hAnsi="Times New Roman" w:cs="Times New Roman"/>
          <w:sz w:val="26"/>
          <w:szCs w:val="26"/>
          <w:lang w:val="uk-UA"/>
        </w:rPr>
        <w:t xml:space="preserve">території </w:t>
      </w:r>
      <w:r w:rsidR="00834CC2">
        <w:rPr>
          <w:rFonts w:ascii="Times New Roman" w:hAnsi="Times New Roman" w:cs="Times New Roman"/>
          <w:sz w:val="26"/>
          <w:szCs w:val="26"/>
          <w:lang w:val="uk-UA"/>
        </w:rPr>
        <w:t xml:space="preserve">населених пунктів </w:t>
      </w:r>
      <w:proofErr w:type="spellStart"/>
      <w:r w:rsidR="00087450" w:rsidRPr="00834CC2">
        <w:rPr>
          <w:rFonts w:ascii="Times New Roman" w:hAnsi="Times New Roman" w:cs="Times New Roman"/>
          <w:sz w:val="26"/>
          <w:szCs w:val="26"/>
          <w:lang w:val="uk-UA"/>
        </w:rPr>
        <w:t>Студениківської</w:t>
      </w:r>
      <w:proofErr w:type="spellEnd"/>
      <w:r w:rsidR="00087450" w:rsidRPr="00834CC2">
        <w:rPr>
          <w:rFonts w:ascii="Times New Roman" w:hAnsi="Times New Roman" w:cs="Times New Roman"/>
          <w:sz w:val="26"/>
          <w:szCs w:val="26"/>
          <w:lang w:val="uk-UA"/>
        </w:rPr>
        <w:t xml:space="preserve"> сільської територіальної громади, а також забезпечення діяльності підприємств різних форм власності та проживання мешканців в умовах, які відповідають чинним санітарно-гігієнічним нормам і правилам.</w:t>
      </w:r>
    </w:p>
    <w:p w:rsidR="00CA5806" w:rsidRPr="00834CC2" w:rsidRDefault="00CA5806" w:rsidP="00031830">
      <w:pPr>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Основними цілями регулювання є:</w:t>
      </w:r>
    </w:p>
    <w:p w:rsidR="00CA5806" w:rsidRPr="00834CC2" w:rsidRDefault="00CA5806" w:rsidP="00CA5806">
      <w:pPr>
        <w:pStyle w:val="a3"/>
        <w:numPr>
          <w:ilvl w:val="0"/>
          <w:numId w:val="1"/>
        </w:numPr>
        <w:spacing w:after="0" w:line="240" w:lineRule="auto"/>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вдосконалення нормативної бази, впровадження державної регуляторної політики у сфері благоустрою</w:t>
      </w:r>
    </w:p>
    <w:p w:rsidR="00967EE5" w:rsidRPr="00834CC2" w:rsidRDefault="00967EE5" w:rsidP="00031830">
      <w:pPr>
        <w:spacing w:after="0" w:line="240" w:lineRule="auto"/>
        <w:ind w:firstLine="567"/>
        <w:jc w:val="both"/>
        <w:rPr>
          <w:rFonts w:ascii="Times New Roman" w:hAnsi="Times New Roman" w:cs="Times New Roman"/>
          <w:sz w:val="26"/>
          <w:szCs w:val="26"/>
          <w:lang w:val="uk-UA"/>
        </w:rPr>
      </w:pPr>
    </w:p>
    <w:p w:rsidR="00967EE5" w:rsidRPr="00834CC2" w:rsidRDefault="00967EE5" w:rsidP="00031830">
      <w:pPr>
        <w:spacing w:after="0" w:line="240" w:lineRule="auto"/>
        <w:ind w:firstLine="567"/>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ІІІ. Визначення та оцінка альтернативних способів досягнення цілей</w:t>
      </w:r>
    </w:p>
    <w:p w:rsidR="00CA5806" w:rsidRPr="00834CC2" w:rsidRDefault="00FD3B67" w:rsidP="00F82E73">
      <w:pPr>
        <w:pStyle w:val="a3"/>
        <w:numPr>
          <w:ilvl w:val="0"/>
          <w:numId w:val="2"/>
        </w:numPr>
        <w:spacing w:after="0" w:line="240" w:lineRule="auto"/>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Визначення альтернативних способів</w:t>
      </w:r>
    </w:p>
    <w:p w:rsidR="00FD3B67" w:rsidRPr="00834CC2" w:rsidRDefault="00FD3B67" w:rsidP="00FD3B67">
      <w:pPr>
        <w:spacing w:after="0" w:line="240" w:lineRule="auto"/>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Альтернативними способами досягнення цілей є:</w:t>
      </w:r>
    </w:p>
    <w:tbl>
      <w:tblPr>
        <w:tblStyle w:val="a4"/>
        <w:tblW w:w="0" w:type="auto"/>
        <w:tblLook w:val="04A0" w:firstRow="1" w:lastRow="0" w:firstColumn="1" w:lastColumn="0" w:noHBand="0" w:noVBand="1"/>
      </w:tblPr>
      <w:tblGrid>
        <w:gridCol w:w="3681"/>
        <w:gridCol w:w="6090"/>
      </w:tblGrid>
      <w:tr w:rsidR="00834CC2" w:rsidRPr="00834CC2" w:rsidTr="00854083">
        <w:tc>
          <w:tcPr>
            <w:tcW w:w="3681" w:type="dxa"/>
          </w:tcPr>
          <w:p w:rsidR="00FD3B67" w:rsidRPr="00834CC2" w:rsidRDefault="00FD3B67" w:rsidP="00FD3B67">
            <w:pPr>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Вид альтернативи</w:t>
            </w:r>
          </w:p>
        </w:tc>
        <w:tc>
          <w:tcPr>
            <w:tcW w:w="6090" w:type="dxa"/>
          </w:tcPr>
          <w:p w:rsidR="00FD3B67" w:rsidRPr="00834CC2" w:rsidRDefault="00FD3B67" w:rsidP="00FD3B67">
            <w:pPr>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Опис альтернативи</w:t>
            </w:r>
          </w:p>
        </w:tc>
      </w:tr>
      <w:tr w:rsidR="00834CC2" w:rsidRPr="00834CC2" w:rsidTr="00854083">
        <w:tc>
          <w:tcPr>
            <w:tcW w:w="3681" w:type="dxa"/>
          </w:tcPr>
          <w:p w:rsidR="00FD3B67" w:rsidRPr="00834CC2" w:rsidRDefault="00FD3B67" w:rsidP="00FD3B67">
            <w:pPr>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Альтернатива 1:</w:t>
            </w:r>
          </w:p>
          <w:p w:rsidR="00FD3B67" w:rsidRPr="00834CC2" w:rsidRDefault="00FD3B67" w:rsidP="00FD3B67">
            <w:pPr>
              <w:rPr>
                <w:rFonts w:ascii="Times New Roman" w:hAnsi="Times New Roman" w:cs="Times New Roman"/>
                <w:sz w:val="26"/>
                <w:szCs w:val="26"/>
                <w:lang w:val="uk-UA"/>
              </w:rPr>
            </w:pPr>
            <w:r w:rsidRPr="00834CC2">
              <w:rPr>
                <w:rFonts w:ascii="Times New Roman" w:hAnsi="Times New Roman" w:cs="Times New Roman"/>
                <w:sz w:val="26"/>
                <w:szCs w:val="26"/>
                <w:lang w:val="uk-UA"/>
              </w:rPr>
              <w:t>Неприйняття запропонованого регуляторного акту (збереження існуючого механізму регулювання</w:t>
            </w:r>
          </w:p>
        </w:tc>
        <w:tc>
          <w:tcPr>
            <w:tcW w:w="6090" w:type="dxa"/>
          </w:tcPr>
          <w:p w:rsidR="00FD3B67" w:rsidRPr="00834CC2" w:rsidRDefault="006C2F40" w:rsidP="00FD3B67">
            <w:pPr>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Ця </w:t>
            </w:r>
            <w:proofErr w:type="spellStart"/>
            <w:r w:rsidRPr="00834CC2">
              <w:rPr>
                <w:rFonts w:ascii="Times New Roman" w:hAnsi="Times New Roman" w:cs="Times New Roman"/>
                <w:sz w:val="26"/>
                <w:szCs w:val="26"/>
                <w:lang w:val="uk-UA"/>
              </w:rPr>
              <w:t>альтиернатива</w:t>
            </w:r>
            <w:proofErr w:type="spellEnd"/>
            <w:r w:rsidRPr="00834CC2">
              <w:rPr>
                <w:rFonts w:ascii="Times New Roman" w:hAnsi="Times New Roman" w:cs="Times New Roman"/>
                <w:sz w:val="26"/>
                <w:szCs w:val="26"/>
                <w:lang w:val="uk-UA"/>
              </w:rPr>
              <w:t xml:space="preserve"> є неприйнятною як для мешканців </w:t>
            </w:r>
            <w:proofErr w:type="spellStart"/>
            <w:r w:rsidRPr="00834CC2">
              <w:rPr>
                <w:rFonts w:ascii="Times New Roman" w:hAnsi="Times New Roman" w:cs="Times New Roman"/>
                <w:sz w:val="26"/>
                <w:szCs w:val="26"/>
                <w:lang w:val="uk-UA"/>
              </w:rPr>
              <w:t>Студениківської</w:t>
            </w:r>
            <w:proofErr w:type="spellEnd"/>
            <w:r w:rsidRPr="00834CC2">
              <w:rPr>
                <w:rFonts w:ascii="Times New Roman" w:hAnsi="Times New Roman" w:cs="Times New Roman"/>
                <w:sz w:val="26"/>
                <w:szCs w:val="26"/>
                <w:lang w:val="uk-UA"/>
              </w:rPr>
              <w:t xml:space="preserve"> громади так і для самих органів місцевого </w:t>
            </w:r>
            <w:proofErr w:type="spellStart"/>
            <w:r w:rsidRPr="00834CC2">
              <w:rPr>
                <w:rFonts w:ascii="Times New Roman" w:hAnsi="Times New Roman" w:cs="Times New Roman"/>
                <w:sz w:val="26"/>
                <w:szCs w:val="26"/>
                <w:lang w:val="uk-UA"/>
              </w:rPr>
              <w:t>оскеільки</w:t>
            </w:r>
            <w:proofErr w:type="spellEnd"/>
            <w:r w:rsidRPr="00834CC2">
              <w:rPr>
                <w:rFonts w:ascii="Times New Roman" w:hAnsi="Times New Roman" w:cs="Times New Roman"/>
                <w:sz w:val="26"/>
                <w:szCs w:val="26"/>
                <w:lang w:val="uk-UA"/>
              </w:rPr>
              <w:t xml:space="preserve"> відсутні достатні важелі впливу на осіб, які погіршують благоустрій у громаді</w:t>
            </w:r>
          </w:p>
        </w:tc>
      </w:tr>
      <w:tr w:rsidR="00FD3B67" w:rsidRPr="00834CC2" w:rsidTr="00F82E73">
        <w:trPr>
          <w:trHeight w:val="1124"/>
        </w:trPr>
        <w:tc>
          <w:tcPr>
            <w:tcW w:w="3681" w:type="dxa"/>
          </w:tcPr>
          <w:p w:rsidR="00FD3B67" w:rsidRPr="00834CC2" w:rsidRDefault="00854083" w:rsidP="00FD3B67">
            <w:pPr>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Альтернатива 2:</w:t>
            </w:r>
          </w:p>
          <w:p w:rsidR="00854083" w:rsidRPr="00834CC2" w:rsidRDefault="00854083" w:rsidP="00854083">
            <w:pPr>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Прийняття органом місцевого самоврядування Правил благоустрою території </w:t>
            </w:r>
            <w:r w:rsidR="00834CC2">
              <w:rPr>
                <w:rFonts w:ascii="Times New Roman" w:hAnsi="Times New Roman" w:cs="Times New Roman"/>
                <w:sz w:val="26"/>
                <w:szCs w:val="26"/>
                <w:lang w:val="uk-UA"/>
              </w:rPr>
              <w:t xml:space="preserve">населених пунктів </w:t>
            </w:r>
            <w:proofErr w:type="spellStart"/>
            <w:r w:rsidRPr="00834CC2">
              <w:rPr>
                <w:rFonts w:ascii="Times New Roman" w:hAnsi="Times New Roman" w:cs="Times New Roman"/>
                <w:sz w:val="26"/>
                <w:szCs w:val="26"/>
                <w:lang w:val="uk-UA"/>
              </w:rPr>
              <w:t>Студениківської</w:t>
            </w:r>
            <w:proofErr w:type="spellEnd"/>
            <w:r w:rsidRPr="00834CC2">
              <w:rPr>
                <w:rFonts w:ascii="Times New Roman" w:hAnsi="Times New Roman" w:cs="Times New Roman"/>
                <w:sz w:val="26"/>
                <w:szCs w:val="26"/>
                <w:lang w:val="uk-UA"/>
              </w:rPr>
              <w:t xml:space="preserve"> сільської територіальної громади</w:t>
            </w:r>
          </w:p>
          <w:p w:rsidR="00854083" w:rsidRPr="00834CC2" w:rsidRDefault="00854083" w:rsidP="00FD3B67">
            <w:pPr>
              <w:jc w:val="both"/>
              <w:rPr>
                <w:rFonts w:ascii="Times New Roman" w:hAnsi="Times New Roman" w:cs="Times New Roman"/>
                <w:sz w:val="26"/>
                <w:szCs w:val="26"/>
                <w:lang w:val="uk-UA"/>
              </w:rPr>
            </w:pPr>
          </w:p>
        </w:tc>
        <w:tc>
          <w:tcPr>
            <w:tcW w:w="6090" w:type="dxa"/>
          </w:tcPr>
          <w:p w:rsidR="00FD3B67" w:rsidRPr="00834CC2" w:rsidRDefault="006C2F40" w:rsidP="00FD3B67">
            <w:pPr>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Затвердження правил забезпечить:</w:t>
            </w:r>
          </w:p>
          <w:p w:rsidR="006C2F40" w:rsidRPr="00834CC2" w:rsidRDefault="006C2F40" w:rsidP="006C2F40">
            <w:pPr>
              <w:pStyle w:val="a3"/>
              <w:numPr>
                <w:ilvl w:val="0"/>
                <w:numId w:val="1"/>
              </w:numPr>
              <w:tabs>
                <w:tab w:val="left" w:pos="177"/>
              </w:tabs>
              <w:ind w:left="36" w:firstLine="0"/>
              <w:rPr>
                <w:rFonts w:ascii="Times New Roman" w:hAnsi="Times New Roman" w:cs="Times New Roman"/>
                <w:sz w:val="26"/>
                <w:szCs w:val="26"/>
                <w:lang w:val="uk-UA"/>
              </w:rPr>
            </w:pPr>
            <w:r w:rsidRPr="00834CC2">
              <w:rPr>
                <w:rFonts w:ascii="Times New Roman" w:hAnsi="Times New Roman" w:cs="Times New Roman"/>
                <w:sz w:val="26"/>
                <w:szCs w:val="26"/>
                <w:lang w:val="uk-UA"/>
              </w:rPr>
              <w:t>дотримання вимог законодавства щодо затвердження органами законодавства правил благоустрою міст;</w:t>
            </w:r>
          </w:p>
          <w:p w:rsidR="006C2F40" w:rsidRPr="00834CC2" w:rsidRDefault="006C2F40" w:rsidP="006C2F40">
            <w:pPr>
              <w:pStyle w:val="a3"/>
              <w:numPr>
                <w:ilvl w:val="0"/>
                <w:numId w:val="1"/>
              </w:numPr>
              <w:tabs>
                <w:tab w:val="left" w:pos="177"/>
              </w:tabs>
              <w:ind w:left="36" w:firstLine="0"/>
              <w:rPr>
                <w:rFonts w:ascii="Times New Roman" w:hAnsi="Times New Roman" w:cs="Times New Roman"/>
                <w:sz w:val="26"/>
                <w:szCs w:val="26"/>
                <w:lang w:val="uk-UA"/>
              </w:rPr>
            </w:pPr>
            <w:r w:rsidRPr="00834CC2">
              <w:rPr>
                <w:rFonts w:ascii="Times New Roman" w:hAnsi="Times New Roman" w:cs="Times New Roman"/>
                <w:sz w:val="26"/>
                <w:szCs w:val="26"/>
                <w:lang w:val="uk-UA"/>
              </w:rPr>
              <w:t>чітке визначення прав та обов’язків суб’єктів благоустрою;</w:t>
            </w:r>
          </w:p>
          <w:p w:rsidR="006C2F40" w:rsidRPr="00834CC2" w:rsidRDefault="006C2F40" w:rsidP="006C2F40">
            <w:pPr>
              <w:pStyle w:val="a3"/>
              <w:numPr>
                <w:ilvl w:val="0"/>
                <w:numId w:val="1"/>
              </w:numPr>
              <w:tabs>
                <w:tab w:val="left" w:pos="177"/>
              </w:tabs>
              <w:ind w:left="36" w:firstLine="0"/>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розмежування відповідальності між </w:t>
            </w:r>
            <w:proofErr w:type="spellStart"/>
            <w:r w:rsidRPr="00834CC2">
              <w:rPr>
                <w:rFonts w:ascii="Times New Roman" w:hAnsi="Times New Roman" w:cs="Times New Roman"/>
                <w:sz w:val="26"/>
                <w:szCs w:val="26"/>
                <w:lang w:val="uk-UA"/>
              </w:rPr>
              <w:t>суб</w:t>
            </w:r>
            <w:proofErr w:type="spellEnd"/>
            <w:r w:rsidR="00834CC2" w:rsidRPr="00834CC2">
              <w:rPr>
                <w:rFonts w:ascii="Times New Roman" w:hAnsi="Times New Roman" w:cs="Times New Roman"/>
                <w:sz w:val="26"/>
                <w:szCs w:val="26"/>
              </w:rPr>
              <w:t>’</w:t>
            </w:r>
            <w:proofErr w:type="spellStart"/>
            <w:r w:rsidRPr="00834CC2">
              <w:rPr>
                <w:rFonts w:ascii="Times New Roman" w:hAnsi="Times New Roman" w:cs="Times New Roman"/>
                <w:sz w:val="26"/>
                <w:szCs w:val="26"/>
                <w:lang w:val="uk-UA"/>
              </w:rPr>
              <w:t>єктами</w:t>
            </w:r>
            <w:proofErr w:type="spellEnd"/>
            <w:r w:rsidRPr="00834CC2">
              <w:rPr>
                <w:rFonts w:ascii="Times New Roman" w:hAnsi="Times New Roman" w:cs="Times New Roman"/>
                <w:sz w:val="26"/>
                <w:szCs w:val="26"/>
                <w:lang w:val="uk-UA"/>
              </w:rPr>
              <w:t xml:space="preserve"> господарювання, органами місцевого самоврядування та населенням;</w:t>
            </w:r>
          </w:p>
          <w:p w:rsidR="006C2F40" w:rsidRPr="00834CC2" w:rsidRDefault="006C2F40" w:rsidP="006C2F40">
            <w:pPr>
              <w:pStyle w:val="a3"/>
              <w:numPr>
                <w:ilvl w:val="0"/>
                <w:numId w:val="1"/>
              </w:numPr>
              <w:tabs>
                <w:tab w:val="left" w:pos="177"/>
              </w:tabs>
              <w:ind w:left="36" w:firstLine="0"/>
              <w:rPr>
                <w:rFonts w:ascii="Times New Roman" w:hAnsi="Times New Roman" w:cs="Times New Roman"/>
                <w:sz w:val="26"/>
                <w:szCs w:val="26"/>
                <w:lang w:val="uk-UA"/>
              </w:rPr>
            </w:pPr>
            <w:r w:rsidRPr="00834CC2">
              <w:rPr>
                <w:rFonts w:ascii="Times New Roman" w:hAnsi="Times New Roman" w:cs="Times New Roman"/>
                <w:sz w:val="26"/>
                <w:szCs w:val="26"/>
                <w:lang w:val="uk-UA"/>
              </w:rPr>
              <w:t>наявність єдиного систематизованого нормативно-правового акту</w:t>
            </w:r>
            <w:r w:rsidR="00F82E73" w:rsidRPr="00834CC2">
              <w:rPr>
                <w:rFonts w:ascii="Times New Roman" w:hAnsi="Times New Roman" w:cs="Times New Roman"/>
                <w:sz w:val="26"/>
                <w:szCs w:val="26"/>
                <w:lang w:val="uk-UA"/>
              </w:rPr>
              <w:t xml:space="preserve">, який регулює відносини, які виникають у сфері благоустрою </w:t>
            </w:r>
            <w:proofErr w:type="spellStart"/>
            <w:r w:rsidR="00F82E73" w:rsidRPr="00834CC2">
              <w:rPr>
                <w:rFonts w:ascii="Times New Roman" w:hAnsi="Times New Roman" w:cs="Times New Roman"/>
                <w:sz w:val="26"/>
                <w:szCs w:val="26"/>
                <w:lang w:val="uk-UA"/>
              </w:rPr>
              <w:t>Студениківської</w:t>
            </w:r>
            <w:proofErr w:type="spellEnd"/>
            <w:r w:rsidR="00F82E73" w:rsidRPr="00834CC2">
              <w:rPr>
                <w:rFonts w:ascii="Times New Roman" w:hAnsi="Times New Roman" w:cs="Times New Roman"/>
                <w:sz w:val="26"/>
                <w:szCs w:val="26"/>
                <w:lang w:val="uk-UA"/>
              </w:rPr>
              <w:t xml:space="preserve"> сільської територіальної громади, </w:t>
            </w:r>
            <w:r w:rsidR="00F82E73" w:rsidRPr="00834CC2">
              <w:rPr>
                <w:rFonts w:ascii="Times New Roman" w:hAnsi="Times New Roman" w:cs="Times New Roman"/>
                <w:sz w:val="26"/>
                <w:szCs w:val="26"/>
                <w:shd w:val="clear" w:color="auto" w:fill="FFFFFF"/>
                <w:lang w:val="uk-UA"/>
              </w:rPr>
              <w:t>визначає правові, економічні, екологічні, соціальні та організаційні засади благоустрою громади і спрямований на створення сприятливих умов для життєдіяльності людини;</w:t>
            </w:r>
            <w:r w:rsidRPr="00834CC2">
              <w:rPr>
                <w:rFonts w:ascii="Times New Roman" w:hAnsi="Times New Roman" w:cs="Times New Roman"/>
                <w:sz w:val="28"/>
                <w:szCs w:val="26"/>
                <w:lang w:val="uk-UA"/>
              </w:rPr>
              <w:t xml:space="preserve"> </w:t>
            </w:r>
          </w:p>
          <w:p w:rsidR="00F82E73" w:rsidRPr="00834CC2" w:rsidRDefault="00F82E73" w:rsidP="006C2F40">
            <w:pPr>
              <w:pStyle w:val="a3"/>
              <w:numPr>
                <w:ilvl w:val="0"/>
                <w:numId w:val="1"/>
              </w:numPr>
              <w:tabs>
                <w:tab w:val="left" w:pos="177"/>
              </w:tabs>
              <w:ind w:left="36" w:firstLine="0"/>
              <w:rPr>
                <w:rFonts w:ascii="Times New Roman" w:hAnsi="Times New Roman" w:cs="Times New Roman"/>
                <w:sz w:val="26"/>
                <w:szCs w:val="26"/>
                <w:lang w:val="uk-UA"/>
              </w:rPr>
            </w:pPr>
            <w:r w:rsidRPr="00834CC2">
              <w:rPr>
                <w:rFonts w:ascii="Times New Roman" w:hAnsi="Times New Roman" w:cs="Times New Roman"/>
                <w:sz w:val="26"/>
                <w:szCs w:val="26"/>
                <w:lang w:val="uk-UA"/>
              </w:rPr>
              <w:t>дає змогу здійснювати контроль у сфері благоустрою населених пунктів із застосуванням статті 152 Кодексу України про адміністративні правопорушення (КУпАП).</w:t>
            </w:r>
          </w:p>
          <w:p w:rsidR="006C2F40" w:rsidRPr="00834CC2" w:rsidRDefault="00F82E73" w:rsidP="00F82E73">
            <w:pPr>
              <w:pStyle w:val="a3"/>
              <w:tabs>
                <w:tab w:val="left" w:pos="177"/>
              </w:tabs>
              <w:ind w:left="36"/>
              <w:rPr>
                <w:rFonts w:ascii="Times New Roman" w:hAnsi="Times New Roman" w:cs="Times New Roman"/>
                <w:sz w:val="26"/>
                <w:szCs w:val="26"/>
                <w:lang w:val="uk-UA"/>
              </w:rPr>
            </w:pPr>
            <w:r w:rsidRPr="00834CC2">
              <w:rPr>
                <w:rFonts w:ascii="Times New Roman" w:hAnsi="Times New Roman" w:cs="Times New Roman"/>
                <w:sz w:val="26"/>
                <w:szCs w:val="26"/>
                <w:lang w:val="uk-UA"/>
              </w:rPr>
              <w:lastRenderedPageBreak/>
              <w:t>Таким чином, досягнення визначеної цілі даним способом є доцільним, таким, що відповідає вимогам чинного законодавства і альтернативи запропонованому регуляторному акту немає</w:t>
            </w:r>
          </w:p>
        </w:tc>
      </w:tr>
    </w:tbl>
    <w:p w:rsidR="00F82E73" w:rsidRPr="00834CC2" w:rsidRDefault="00F82E73" w:rsidP="00F82E73">
      <w:pPr>
        <w:spacing w:after="0" w:line="240" w:lineRule="auto"/>
        <w:jc w:val="both"/>
        <w:rPr>
          <w:rFonts w:ascii="Times New Roman" w:hAnsi="Times New Roman" w:cs="Times New Roman"/>
          <w:sz w:val="26"/>
          <w:szCs w:val="26"/>
          <w:lang w:val="uk-UA"/>
        </w:rPr>
      </w:pPr>
    </w:p>
    <w:p w:rsidR="00FD3B67" w:rsidRPr="00834CC2" w:rsidRDefault="00F82E73" w:rsidP="00F82E73">
      <w:pPr>
        <w:pStyle w:val="a3"/>
        <w:numPr>
          <w:ilvl w:val="0"/>
          <w:numId w:val="2"/>
        </w:numPr>
        <w:spacing w:after="0" w:line="240" w:lineRule="auto"/>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Оцінка вибраних альтернативних способів досягнення цілей.</w:t>
      </w:r>
    </w:p>
    <w:p w:rsidR="00F82E73" w:rsidRPr="00834CC2" w:rsidRDefault="00F82E73" w:rsidP="00F82E73">
      <w:pPr>
        <w:spacing w:after="0" w:line="240" w:lineRule="auto"/>
        <w:jc w:val="both"/>
        <w:rPr>
          <w:rFonts w:ascii="Times New Roman" w:hAnsi="Times New Roman" w:cs="Times New Roman"/>
          <w:sz w:val="16"/>
          <w:szCs w:val="16"/>
          <w:lang w:val="uk-UA"/>
        </w:rPr>
      </w:pPr>
    </w:p>
    <w:p w:rsidR="00F82E73" w:rsidRPr="00834CC2" w:rsidRDefault="00F82E73" w:rsidP="00F82E73">
      <w:pPr>
        <w:spacing w:after="0" w:line="240" w:lineRule="auto"/>
        <w:jc w:val="both"/>
        <w:rPr>
          <w:rFonts w:ascii="Times New Roman" w:hAnsi="Times New Roman" w:cs="Times New Roman"/>
          <w:i/>
          <w:sz w:val="26"/>
          <w:szCs w:val="26"/>
          <w:lang w:val="uk-UA"/>
        </w:rPr>
      </w:pPr>
      <w:r w:rsidRPr="00834CC2">
        <w:rPr>
          <w:rFonts w:ascii="Times New Roman" w:hAnsi="Times New Roman" w:cs="Times New Roman"/>
          <w:i/>
          <w:sz w:val="26"/>
          <w:szCs w:val="26"/>
          <w:lang w:val="uk-UA"/>
        </w:rPr>
        <w:t>Оцінка впливу на сферу інтересів органів місцевого самоврядування:</w:t>
      </w:r>
    </w:p>
    <w:p w:rsidR="0030513C" w:rsidRPr="00834CC2" w:rsidRDefault="0030513C" w:rsidP="00F82E73">
      <w:pPr>
        <w:spacing w:after="0" w:line="240" w:lineRule="auto"/>
        <w:jc w:val="both"/>
        <w:rPr>
          <w:rFonts w:ascii="Times New Roman" w:hAnsi="Times New Roman" w:cs="Times New Roman"/>
          <w:b/>
          <w:sz w:val="16"/>
          <w:szCs w:val="16"/>
          <w:lang w:val="uk-UA"/>
        </w:rPr>
      </w:pPr>
    </w:p>
    <w:tbl>
      <w:tblPr>
        <w:tblStyle w:val="a4"/>
        <w:tblW w:w="0" w:type="auto"/>
        <w:tblLook w:val="04A0" w:firstRow="1" w:lastRow="0" w:firstColumn="1" w:lastColumn="0" w:noHBand="0" w:noVBand="1"/>
      </w:tblPr>
      <w:tblGrid>
        <w:gridCol w:w="2689"/>
        <w:gridCol w:w="3260"/>
        <w:gridCol w:w="3822"/>
      </w:tblGrid>
      <w:tr w:rsidR="00834CC2" w:rsidRPr="00834CC2" w:rsidTr="0030513C">
        <w:tc>
          <w:tcPr>
            <w:tcW w:w="2689" w:type="dxa"/>
          </w:tcPr>
          <w:p w:rsidR="0030513C" w:rsidRPr="00834CC2" w:rsidRDefault="0030513C" w:rsidP="00F82E73">
            <w:pPr>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Вид альтернативи</w:t>
            </w:r>
          </w:p>
        </w:tc>
        <w:tc>
          <w:tcPr>
            <w:tcW w:w="3260" w:type="dxa"/>
          </w:tcPr>
          <w:p w:rsidR="0030513C" w:rsidRPr="00834CC2" w:rsidRDefault="0030513C" w:rsidP="00F82E73">
            <w:pPr>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Вигоди</w:t>
            </w:r>
          </w:p>
        </w:tc>
        <w:tc>
          <w:tcPr>
            <w:tcW w:w="3822" w:type="dxa"/>
          </w:tcPr>
          <w:p w:rsidR="0030513C" w:rsidRPr="00834CC2" w:rsidRDefault="0030513C" w:rsidP="00F82E73">
            <w:pPr>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Витрати</w:t>
            </w:r>
          </w:p>
        </w:tc>
      </w:tr>
      <w:tr w:rsidR="00834CC2" w:rsidRPr="00834CC2" w:rsidTr="0013732A">
        <w:tc>
          <w:tcPr>
            <w:tcW w:w="2689" w:type="dxa"/>
            <w:vAlign w:val="center"/>
          </w:tcPr>
          <w:p w:rsidR="0030513C" w:rsidRPr="00834CC2" w:rsidRDefault="0030513C" w:rsidP="0013732A">
            <w:pPr>
              <w:jc w:val="center"/>
              <w:rPr>
                <w:rFonts w:ascii="Times New Roman" w:hAnsi="Times New Roman" w:cs="Times New Roman"/>
                <w:b/>
                <w:sz w:val="26"/>
                <w:szCs w:val="26"/>
                <w:u w:val="single"/>
                <w:lang w:val="uk-UA"/>
              </w:rPr>
            </w:pPr>
            <w:r w:rsidRPr="00834CC2">
              <w:rPr>
                <w:rFonts w:ascii="Times New Roman" w:hAnsi="Times New Roman" w:cs="Times New Roman"/>
                <w:b/>
                <w:sz w:val="26"/>
                <w:szCs w:val="26"/>
                <w:u w:val="single"/>
                <w:lang w:val="uk-UA"/>
              </w:rPr>
              <w:t>Альтернатива 1</w:t>
            </w:r>
          </w:p>
        </w:tc>
        <w:tc>
          <w:tcPr>
            <w:tcW w:w="3260" w:type="dxa"/>
          </w:tcPr>
          <w:p w:rsidR="0030513C" w:rsidRPr="00834CC2" w:rsidRDefault="0030513C" w:rsidP="00F82E73">
            <w:pPr>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Відсутні</w:t>
            </w:r>
          </w:p>
        </w:tc>
        <w:tc>
          <w:tcPr>
            <w:tcW w:w="3822" w:type="dxa"/>
          </w:tcPr>
          <w:p w:rsidR="0030513C" w:rsidRPr="00834CC2" w:rsidRDefault="00DC00AE" w:rsidP="00DC00AE">
            <w:pPr>
              <w:rPr>
                <w:rFonts w:ascii="Times New Roman" w:hAnsi="Times New Roman" w:cs="Times New Roman"/>
                <w:sz w:val="26"/>
                <w:szCs w:val="26"/>
                <w:lang w:val="uk-UA"/>
              </w:rPr>
            </w:pPr>
            <w:r w:rsidRPr="00834CC2">
              <w:rPr>
                <w:rFonts w:ascii="Times New Roman" w:hAnsi="Times New Roman" w:cs="Times New Roman"/>
                <w:sz w:val="26"/>
                <w:szCs w:val="26"/>
                <w:lang w:val="uk-UA"/>
              </w:rPr>
              <w:t>Організація робіт та захо</w:t>
            </w:r>
            <w:r w:rsidR="0030513C" w:rsidRPr="00834CC2">
              <w:rPr>
                <w:rFonts w:ascii="Times New Roman" w:hAnsi="Times New Roman" w:cs="Times New Roman"/>
                <w:sz w:val="26"/>
                <w:szCs w:val="26"/>
                <w:lang w:val="uk-UA"/>
              </w:rPr>
              <w:t xml:space="preserve">дів з благоустрою території </w:t>
            </w:r>
            <w:proofErr w:type="spellStart"/>
            <w:r w:rsidR="0030513C" w:rsidRPr="00834CC2">
              <w:rPr>
                <w:rFonts w:ascii="Times New Roman" w:hAnsi="Times New Roman" w:cs="Times New Roman"/>
                <w:sz w:val="26"/>
                <w:szCs w:val="26"/>
                <w:lang w:val="uk-UA"/>
              </w:rPr>
              <w:t>Студениківської</w:t>
            </w:r>
            <w:proofErr w:type="spellEnd"/>
            <w:r w:rsidR="0030513C" w:rsidRPr="00834CC2">
              <w:rPr>
                <w:rFonts w:ascii="Times New Roman" w:hAnsi="Times New Roman" w:cs="Times New Roman"/>
                <w:sz w:val="26"/>
                <w:szCs w:val="26"/>
                <w:lang w:val="uk-UA"/>
              </w:rPr>
              <w:t xml:space="preserve"> сільської територіальної  громади, а також відновлення об’єктів благоустрою та ліквідація стихійних сміттєзвалищ за рахунок місцевого бюджету щорічно складає орієнтовно </w:t>
            </w:r>
            <w:r w:rsidRPr="00834CC2">
              <w:rPr>
                <w:rFonts w:ascii="Times New Roman" w:hAnsi="Times New Roman" w:cs="Times New Roman"/>
                <w:sz w:val="26"/>
                <w:szCs w:val="26"/>
                <w:lang w:val="uk-UA"/>
              </w:rPr>
              <w:t>8</w:t>
            </w:r>
            <w:r w:rsidR="0030513C" w:rsidRPr="00834CC2">
              <w:rPr>
                <w:rFonts w:ascii="Times New Roman" w:hAnsi="Times New Roman" w:cs="Times New Roman"/>
                <w:sz w:val="26"/>
                <w:szCs w:val="26"/>
                <w:lang w:val="uk-UA"/>
              </w:rPr>
              <w:t>00 тисяч грн.</w:t>
            </w:r>
          </w:p>
        </w:tc>
      </w:tr>
      <w:tr w:rsidR="0030513C" w:rsidRPr="00834CC2" w:rsidTr="0013732A">
        <w:tc>
          <w:tcPr>
            <w:tcW w:w="2689" w:type="dxa"/>
            <w:vAlign w:val="center"/>
          </w:tcPr>
          <w:p w:rsidR="0030513C" w:rsidRPr="00834CC2" w:rsidRDefault="0030513C" w:rsidP="0013732A">
            <w:pPr>
              <w:jc w:val="center"/>
              <w:rPr>
                <w:rFonts w:ascii="Times New Roman" w:hAnsi="Times New Roman" w:cs="Times New Roman"/>
                <w:b/>
                <w:sz w:val="26"/>
                <w:szCs w:val="26"/>
                <w:u w:val="single"/>
                <w:lang w:val="uk-UA"/>
              </w:rPr>
            </w:pPr>
            <w:r w:rsidRPr="00834CC2">
              <w:rPr>
                <w:rFonts w:ascii="Times New Roman" w:hAnsi="Times New Roman" w:cs="Times New Roman"/>
                <w:b/>
                <w:sz w:val="26"/>
                <w:szCs w:val="26"/>
                <w:u w:val="single"/>
                <w:lang w:val="uk-UA"/>
              </w:rPr>
              <w:t>Альтернатива 2</w:t>
            </w:r>
          </w:p>
        </w:tc>
        <w:tc>
          <w:tcPr>
            <w:tcW w:w="3260" w:type="dxa"/>
          </w:tcPr>
          <w:p w:rsidR="0030513C" w:rsidRPr="00834CC2" w:rsidRDefault="0030513C" w:rsidP="0030513C">
            <w:pPr>
              <w:pStyle w:val="a5"/>
              <w:shd w:val="clear" w:color="auto" w:fill="FFFFFF"/>
              <w:spacing w:before="0" w:beforeAutospacing="0"/>
              <w:rPr>
                <w:sz w:val="26"/>
                <w:szCs w:val="26"/>
                <w:lang w:val="uk-UA"/>
              </w:rPr>
            </w:pPr>
            <w:r w:rsidRPr="00834CC2">
              <w:rPr>
                <w:sz w:val="26"/>
                <w:szCs w:val="26"/>
                <w:lang w:val="uk-UA"/>
              </w:rPr>
              <w:t>- чітке визначення прав і обов'язків суб'єктів у сфері благоустрою;</w:t>
            </w:r>
          </w:p>
          <w:p w:rsidR="0030513C" w:rsidRPr="00834CC2" w:rsidRDefault="0030513C" w:rsidP="0030513C">
            <w:pPr>
              <w:pStyle w:val="a5"/>
              <w:shd w:val="clear" w:color="auto" w:fill="FFFFFF"/>
              <w:spacing w:before="0" w:beforeAutospacing="0"/>
              <w:rPr>
                <w:sz w:val="26"/>
                <w:szCs w:val="26"/>
                <w:lang w:val="uk-UA"/>
              </w:rPr>
            </w:pPr>
            <w:r w:rsidRPr="00834CC2">
              <w:rPr>
                <w:sz w:val="26"/>
                <w:szCs w:val="26"/>
                <w:lang w:val="uk-UA"/>
              </w:rPr>
              <w:t>- розмежування відповідальності між  суб'єктами господарювання, населенням та органом місцевого самоврядування;</w:t>
            </w:r>
          </w:p>
          <w:p w:rsidR="0030513C" w:rsidRPr="00834CC2" w:rsidRDefault="0030513C" w:rsidP="0030513C">
            <w:pPr>
              <w:pStyle w:val="a5"/>
              <w:shd w:val="clear" w:color="auto" w:fill="FFFFFF"/>
              <w:spacing w:before="0" w:beforeAutospacing="0"/>
              <w:rPr>
                <w:sz w:val="26"/>
                <w:szCs w:val="26"/>
                <w:lang w:val="uk-UA"/>
              </w:rPr>
            </w:pPr>
            <w:r w:rsidRPr="00834CC2">
              <w:rPr>
                <w:sz w:val="26"/>
                <w:szCs w:val="26"/>
                <w:lang w:val="uk-UA"/>
              </w:rPr>
              <w:t xml:space="preserve">- наявність єдиного систематизованого нормативно-правового акту в повій редакції, який регулює відносини, то виникають у сфері благоустрою </w:t>
            </w:r>
            <w:proofErr w:type="spellStart"/>
            <w:r w:rsidR="00571552" w:rsidRPr="00834CC2">
              <w:rPr>
                <w:sz w:val="26"/>
                <w:szCs w:val="26"/>
                <w:lang w:val="uk-UA"/>
              </w:rPr>
              <w:t>Студениківської</w:t>
            </w:r>
            <w:proofErr w:type="spellEnd"/>
            <w:r w:rsidR="00571552" w:rsidRPr="00834CC2">
              <w:rPr>
                <w:sz w:val="26"/>
                <w:szCs w:val="26"/>
                <w:lang w:val="uk-UA"/>
              </w:rPr>
              <w:t xml:space="preserve"> сільської територіальної громади</w:t>
            </w:r>
            <w:r w:rsidRPr="00834CC2">
              <w:rPr>
                <w:sz w:val="26"/>
                <w:szCs w:val="26"/>
                <w:lang w:val="uk-UA"/>
              </w:rPr>
              <w:t>; визначає правові, економічні, екологічні, соціальні та організаційні засади благоустрою населеного пункту і спрямований на створення сприятливих умов для життєдіяльності людини;</w:t>
            </w:r>
          </w:p>
          <w:p w:rsidR="0030513C" w:rsidRPr="00834CC2" w:rsidRDefault="0030513C" w:rsidP="0030513C">
            <w:pPr>
              <w:pStyle w:val="a5"/>
              <w:shd w:val="clear" w:color="auto" w:fill="FFFFFF"/>
              <w:spacing w:before="0" w:beforeAutospacing="0"/>
              <w:rPr>
                <w:sz w:val="26"/>
                <w:szCs w:val="26"/>
                <w:lang w:val="uk-UA"/>
              </w:rPr>
            </w:pPr>
            <w:r w:rsidRPr="00834CC2">
              <w:rPr>
                <w:sz w:val="26"/>
                <w:szCs w:val="26"/>
                <w:lang w:val="uk-UA"/>
              </w:rPr>
              <w:lastRenderedPageBreak/>
              <w:t>- дає змогу здійснювати контроль у сфері благоустрою населеного пункту із застосуванням статті 152 і Кодексу України про адміністративні правопорушення.</w:t>
            </w:r>
          </w:p>
        </w:tc>
        <w:tc>
          <w:tcPr>
            <w:tcW w:w="3822" w:type="dxa"/>
          </w:tcPr>
          <w:p w:rsidR="0030513C" w:rsidRPr="00834CC2" w:rsidRDefault="0030513C" w:rsidP="00DC00AE">
            <w:pPr>
              <w:rPr>
                <w:rFonts w:ascii="Times New Roman" w:hAnsi="Times New Roman" w:cs="Times New Roman"/>
                <w:sz w:val="26"/>
                <w:szCs w:val="26"/>
                <w:lang w:val="uk-UA"/>
              </w:rPr>
            </w:pPr>
            <w:r w:rsidRPr="00834CC2">
              <w:rPr>
                <w:rFonts w:ascii="Times New Roman" w:hAnsi="Times New Roman" w:cs="Times New Roman"/>
                <w:sz w:val="26"/>
                <w:szCs w:val="26"/>
                <w:lang w:val="uk-UA"/>
              </w:rPr>
              <w:lastRenderedPageBreak/>
              <w:t xml:space="preserve">Витрати робочого часу спеціалістів а підготовку регуляторного акту, контроль за виконанням регуляторного акту за рік </w:t>
            </w:r>
            <w:r w:rsidR="00F30022" w:rsidRPr="00834CC2">
              <w:rPr>
                <w:rFonts w:ascii="Times New Roman" w:hAnsi="Times New Roman" w:cs="Times New Roman"/>
                <w:sz w:val="26"/>
                <w:szCs w:val="26"/>
                <w:lang w:val="uk-UA"/>
              </w:rPr>
              <w:t>орієнтовно</w:t>
            </w:r>
            <w:r w:rsidR="00DC00AE" w:rsidRPr="00834CC2">
              <w:rPr>
                <w:rFonts w:ascii="Times New Roman" w:hAnsi="Times New Roman" w:cs="Times New Roman"/>
                <w:sz w:val="26"/>
                <w:szCs w:val="26"/>
                <w:lang w:val="uk-UA"/>
              </w:rPr>
              <w:t xml:space="preserve"> 2500</w:t>
            </w:r>
            <w:r w:rsidR="00F30022" w:rsidRPr="00834CC2">
              <w:rPr>
                <w:rFonts w:ascii="Times New Roman" w:hAnsi="Times New Roman" w:cs="Times New Roman"/>
                <w:sz w:val="26"/>
                <w:szCs w:val="26"/>
                <w:lang w:val="uk-UA"/>
              </w:rPr>
              <w:t xml:space="preserve"> грн.</w:t>
            </w:r>
            <w:r w:rsidR="00DC00AE" w:rsidRPr="00834CC2">
              <w:rPr>
                <w:rFonts w:ascii="Times New Roman" w:hAnsi="Times New Roman" w:cs="Times New Roman"/>
                <w:sz w:val="26"/>
                <w:szCs w:val="26"/>
                <w:lang w:val="uk-UA"/>
              </w:rPr>
              <w:t xml:space="preserve"> (за</w:t>
            </w:r>
            <w:r w:rsidR="00834CC2">
              <w:rPr>
                <w:rFonts w:ascii="Times New Roman" w:hAnsi="Times New Roman" w:cs="Times New Roman"/>
                <w:sz w:val="26"/>
                <w:szCs w:val="26"/>
                <w:lang w:val="uk-UA"/>
              </w:rPr>
              <w:t>робітна плата), витрати на опублікування регуля</w:t>
            </w:r>
            <w:r w:rsidR="00DC00AE" w:rsidRPr="00834CC2">
              <w:rPr>
                <w:rFonts w:ascii="Times New Roman" w:hAnsi="Times New Roman" w:cs="Times New Roman"/>
                <w:sz w:val="26"/>
                <w:szCs w:val="26"/>
                <w:lang w:val="uk-UA"/>
              </w:rPr>
              <w:t>торного акту 1000 грн.</w:t>
            </w:r>
          </w:p>
        </w:tc>
      </w:tr>
    </w:tbl>
    <w:p w:rsidR="00F82E73" w:rsidRPr="00834CC2" w:rsidRDefault="00F82E73" w:rsidP="00F82E73">
      <w:pPr>
        <w:spacing w:after="0" w:line="240" w:lineRule="auto"/>
        <w:jc w:val="both"/>
        <w:rPr>
          <w:rFonts w:ascii="Times New Roman" w:hAnsi="Times New Roman" w:cs="Times New Roman"/>
          <w:sz w:val="26"/>
          <w:szCs w:val="26"/>
          <w:lang w:val="uk-UA"/>
        </w:rPr>
      </w:pPr>
    </w:p>
    <w:p w:rsidR="0030513C" w:rsidRPr="00834CC2" w:rsidRDefault="000201B6" w:rsidP="00F82E73">
      <w:pPr>
        <w:spacing w:after="0" w:line="240" w:lineRule="auto"/>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Оцінка впливу на сферу інтересів громадян:</w:t>
      </w:r>
    </w:p>
    <w:tbl>
      <w:tblPr>
        <w:tblW w:w="921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54"/>
        <w:gridCol w:w="5505"/>
        <w:gridCol w:w="1251"/>
      </w:tblGrid>
      <w:tr w:rsidR="00834CC2" w:rsidRPr="00834CC2" w:rsidTr="000201B6">
        <w:tc>
          <w:tcPr>
            <w:tcW w:w="2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proofErr w:type="spellStart"/>
            <w:r w:rsidRPr="00834CC2">
              <w:rPr>
                <w:rFonts w:ascii="Times New Roman" w:eastAsia="Times New Roman" w:hAnsi="Times New Roman" w:cs="Times New Roman"/>
                <w:sz w:val="26"/>
                <w:szCs w:val="26"/>
                <w:lang w:val="uk-UA" w:eastAsia="ru-RU"/>
              </w:rPr>
              <w:t>ид</w:t>
            </w:r>
            <w:proofErr w:type="spellEnd"/>
            <w:r w:rsidRPr="00834CC2">
              <w:rPr>
                <w:rFonts w:ascii="Times New Roman" w:eastAsia="Times New Roman" w:hAnsi="Times New Roman" w:cs="Times New Roman"/>
                <w:sz w:val="26"/>
                <w:szCs w:val="26"/>
                <w:lang w:val="uk-UA" w:eastAsia="ru-RU"/>
              </w:rPr>
              <w:t xml:space="preserve"> альтернативи</w:t>
            </w:r>
          </w:p>
        </w:tc>
        <w:tc>
          <w:tcPr>
            <w:tcW w:w="57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Вигоди</w:t>
            </w:r>
          </w:p>
        </w:tc>
        <w:tc>
          <w:tcPr>
            <w:tcW w:w="9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Витрати</w:t>
            </w:r>
          </w:p>
        </w:tc>
      </w:tr>
      <w:tr w:rsidR="00834CC2" w:rsidRPr="00834CC2" w:rsidTr="000201B6">
        <w:tc>
          <w:tcPr>
            <w:tcW w:w="2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Альтернатива 1</w:t>
            </w:r>
          </w:p>
        </w:tc>
        <w:tc>
          <w:tcPr>
            <w:tcW w:w="57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Організація роботи та заходів з благоустрою населених пунктів, а також відновлення об’єктів благоустрою за рахунок місцевого бюджету</w:t>
            </w:r>
          </w:p>
        </w:tc>
        <w:tc>
          <w:tcPr>
            <w:tcW w:w="9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Громадяни не несли</w:t>
            </w:r>
          </w:p>
        </w:tc>
      </w:tr>
      <w:tr w:rsidR="00834CC2" w:rsidRPr="00834CC2" w:rsidTr="000201B6">
        <w:tc>
          <w:tcPr>
            <w:tcW w:w="25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Альтернатива 2</w:t>
            </w:r>
          </w:p>
        </w:tc>
        <w:tc>
          <w:tcPr>
            <w:tcW w:w="57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Чітке визначення прав та розподіл обов'язків у сфері благоустрою між громадянами, органами влади, установами, організаціями та суб'єктами господарювання. Користування суспільними благами за рахунок покращення санітарного та технічного стану вулиць, парків, скверів, інших об’єктів та елементів благоустрою.</w:t>
            </w:r>
          </w:p>
        </w:tc>
        <w:tc>
          <w:tcPr>
            <w:tcW w:w="9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Громадяни не нестимуть</w:t>
            </w:r>
          </w:p>
        </w:tc>
      </w:tr>
    </w:tbl>
    <w:p w:rsidR="000201B6" w:rsidRPr="00834CC2" w:rsidRDefault="000201B6" w:rsidP="000201B6">
      <w:pPr>
        <w:shd w:val="clear" w:color="auto" w:fill="FFFFFF"/>
        <w:spacing w:after="100" w:afterAutospacing="1" w:line="240" w:lineRule="auto"/>
        <w:rPr>
          <w:rFonts w:ascii="Times New Roman" w:eastAsia="Times New Roman" w:hAnsi="Times New Roman" w:cs="Times New Roman"/>
          <w:sz w:val="26"/>
          <w:szCs w:val="26"/>
          <w:lang w:val="uk-UA" w:eastAsia="ru-RU"/>
        </w:rPr>
      </w:pPr>
    </w:p>
    <w:p w:rsidR="000201B6" w:rsidRPr="00834CC2" w:rsidRDefault="000201B6" w:rsidP="000201B6">
      <w:pPr>
        <w:shd w:val="clear" w:color="auto" w:fill="FFFFFF"/>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Оцінка впливу на сферу інтересів суб’єктів господарювання:</w:t>
      </w:r>
    </w:p>
    <w:tbl>
      <w:tblPr>
        <w:tblW w:w="981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215"/>
        <w:gridCol w:w="1176"/>
        <w:gridCol w:w="1590"/>
        <w:gridCol w:w="1187"/>
        <w:gridCol w:w="1350"/>
        <w:gridCol w:w="1292"/>
      </w:tblGrid>
      <w:tr w:rsidR="00834CC2" w:rsidRPr="00834CC2" w:rsidTr="000201B6">
        <w:tc>
          <w:tcPr>
            <w:tcW w:w="32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F30022">
            <w:pPr>
              <w:jc w:val="center"/>
              <w:rPr>
                <w:rFonts w:ascii="Times New Roman" w:hAnsi="Times New Roman" w:cs="Times New Roman"/>
                <w:b/>
                <w:sz w:val="26"/>
                <w:szCs w:val="26"/>
                <w:lang w:val="uk-UA" w:eastAsia="ru-RU"/>
              </w:rPr>
            </w:pPr>
            <w:r w:rsidRPr="00834CC2">
              <w:rPr>
                <w:rFonts w:ascii="Times New Roman" w:hAnsi="Times New Roman" w:cs="Times New Roman"/>
                <w:b/>
                <w:sz w:val="26"/>
                <w:szCs w:val="26"/>
                <w:lang w:val="uk-UA" w:eastAsia="ru-RU"/>
              </w:rPr>
              <w:t>Показник</w:t>
            </w:r>
          </w:p>
        </w:tc>
        <w:tc>
          <w:tcPr>
            <w:tcW w:w="1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F30022">
            <w:pPr>
              <w:spacing w:after="100" w:afterAutospacing="1" w:line="240" w:lineRule="auto"/>
              <w:jc w:val="center"/>
              <w:rPr>
                <w:rFonts w:ascii="Times New Roman" w:eastAsia="Times New Roman" w:hAnsi="Times New Roman" w:cs="Times New Roman"/>
                <w:b/>
                <w:sz w:val="26"/>
                <w:szCs w:val="26"/>
                <w:lang w:val="uk-UA" w:eastAsia="ru-RU"/>
              </w:rPr>
            </w:pPr>
            <w:r w:rsidRPr="00834CC2">
              <w:rPr>
                <w:rFonts w:ascii="Times New Roman" w:eastAsia="Times New Roman" w:hAnsi="Times New Roman" w:cs="Times New Roman"/>
                <w:b/>
                <w:sz w:val="26"/>
                <w:szCs w:val="26"/>
                <w:lang w:val="uk-UA" w:eastAsia="ru-RU"/>
              </w:rPr>
              <w:t>Великі</w:t>
            </w:r>
          </w:p>
        </w:tc>
        <w:tc>
          <w:tcPr>
            <w:tcW w:w="15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F30022">
            <w:pPr>
              <w:spacing w:after="100" w:afterAutospacing="1" w:line="240" w:lineRule="auto"/>
              <w:jc w:val="center"/>
              <w:rPr>
                <w:rFonts w:ascii="Times New Roman" w:eastAsia="Times New Roman" w:hAnsi="Times New Roman" w:cs="Times New Roman"/>
                <w:b/>
                <w:sz w:val="26"/>
                <w:szCs w:val="26"/>
                <w:lang w:val="uk-UA" w:eastAsia="ru-RU"/>
              </w:rPr>
            </w:pPr>
            <w:r w:rsidRPr="00834CC2">
              <w:rPr>
                <w:rFonts w:ascii="Times New Roman" w:eastAsia="Times New Roman" w:hAnsi="Times New Roman" w:cs="Times New Roman"/>
                <w:b/>
                <w:sz w:val="26"/>
                <w:szCs w:val="26"/>
                <w:lang w:val="uk-UA" w:eastAsia="ru-RU"/>
              </w:rPr>
              <w:t>Середні</w:t>
            </w:r>
          </w:p>
        </w:tc>
        <w:tc>
          <w:tcPr>
            <w:tcW w:w="118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F30022">
            <w:pPr>
              <w:spacing w:after="100" w:afterAutospacing="1" w:line="240" w:lineRule="auto"/>
              <w:jc w:val="center"/>
              <w:rPr>
                <w:rFonts w:ascii="Times New Roman" w:eastAsia="Times New Roman" w:hAnsi="Times New Roman" w:cs="Times New Roman"/>
                <w:b/>
                <w:sz w:val="26"/>
                <w:szCs w:val="26"/>
                <w:lang w:val="uk-UA" w:eastAsia="ru-RU"/>
              </w:rPr>
            </w:pPr>
            <w:r w:rsidRPr="00834CC2">
              <w:rPr>
                <w:rFonts w:ascii="Times New Roman" w:eastAsia="Times New Roman" w:hAnsi="Times New Roman" w:cs="Times New Roman"/>
                <w:b/>
                <w:sz w:val="26"/>
                <w:szCs w:val="26"/>
                <w:lang w:val="uk-UA" w:eastAsia="ru-RU"/>
              </w:rPr>
              <w:t>Малі</w:t>
            </w:r>
          </w:p>
        </w:tc>
        <w:tc>
          <w:tcPr>
            <w:tcW w:w="13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F30022">
            <w:pPr>
              <w:spacing w:after="100" w:afterAutospacing="1" w:line="240" w:lineRule="auto"/>
              <w:jc w:val="center"/>
              <w:rPr>
                <w:rFonts w:ascii="Times New Roman" w:eastAsia="Times New Roman" w:hAnsi="Times New Roman" w:cs="Times New Roman"/>
                <w:b/>
                <w:sz w:val="26"/>
                <w:szCs w:val="26"/>
                <w:lang w:val="uk-UA" w:eastAsia="ru-RU"/>
              </w:rPr>
            </w:pPr>
            <w:r w:rsidRPr="00834CC2">
              <w:rPr>
                <w:rFonts w:ascii="Times New Roman" w:eastAsia="Times New Roman" w:hAnsi="Times New Roman" w:cs="Times New Roman"/>
                <w:b/>
                <w:sz w:val="26"/>
                <w:szCs w:val="26"/>
                <w:lang w:val="uk-UA" w:eastAsia="ru-RU"/>
              </w:rPr>
              <w:t>Мікро-</w:t>
            </w:r>
          </w:p>
        </w:tc>
        <w:tc>
          <w:tcPr>
            <w:tcW w:w="129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F30022">
            <w:pPr>
              <w:spacing w:after="100" w:afterAutospacing="1" w:line="240" w:lineRule="auto"/>
              <w:jc w:val="center"/>
              <w:rPr>
                <w:rFonts w:ascii="Times New Roman" w:eastAsia="Times New Roman" w:hAnsi="Times New Roman" w:cs="Times New Roman"/>
                <w:b/>
                <w:sz w:val="26"/>
                <w:szCs w:val="26"/>
                <w:lang w:val="uk-UA" w:eastAsia="ru-RU"/>
              </w:rPr>
            </w:pPr>
            <w:r w:rsidRPr="00834CC2">
              <w:rPr>
                <w:rFonts w:ascii="Times New Roman" w:eastAsia="Times New Roman" w:hAnsi="Times New Roman" w:cs="Times New Roman"/>
                <w:b/>
                <w:sz w:val="26"/>
                <w:szCs w:val="26"/>
                <w:lang w:val="uk-UA" w:eastAsia="ru-RU"/>
              </w:rPr>
              <w:t>разом</w:t>
            </w:r>
          </w:p>
        </w:tc>
      </w:tr>
      <w:tr w:rsidR="00834CC2" w:rsidRPr="00834CC2" w:rsidTr="000201B6">
        <w:tc>
          <w:tcPr>
            <w:tcW w:w="32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Кількість суб’єктів господарювання, що підпадають під дію регулювання, одиниць</w:t>
            </w:r>
          </w:p>
        </w:tc>
        <w:tc>
          <w:tcPr>
            <w:tcW w:w="1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DC00AE"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6</w:t>
            </w:r>
          </w:p>
        </w:tc>
        <w:tc>
          <w:tcPr>
            <w:tcW w:w="15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DC00AE"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5</w:t>
            </w:r>
          </w:p>
        </w:tc>
        <w:tc>
          <w:tcPr>
            <w:tcW w:w="118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DC00AE" w:rsidP="00DC00AE">
            <w:pPr>
              <w:spacing w:after="100" w:afterAutospacing="1" w:line="240" w:lineRule="auto"/>
              <w:jc w:val="center"/>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90</w:t>
            </w:r>
          </w:p>
        </w:tc>
        <w:tc>
          <w:tcPr>
            <w:tcW w:w="13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DC00AE">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 xml:space="preserve">  </w:t>
            </w:r>
            <w:r w:rsidR="00DC00AE" w:rsidRPr="00834CC2">
              <w:rPr>
                <w:rFonts w:ascii="Times New Roman" w:eastAsia="Times New Roman" w:hAnsi="Times New Roman" w:cs="Times New Roman"/>
                <w:sz w:val="26"/>
                <w:szCs w:val="26"/>
                <w:lang w:val="uk-UA" w:eastAsia="ru-RU"/>
              </w:rPr>
              <w:t>150</w:t>
            </w:r>
          </w:p>
        </w:tc>
        <w:tc>
          <w:tcPr>
            <w:tcW w:w="129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DC00AE"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 xml:space="preserve"> 251</w:t>
            </w:r>
          </w:p>
        </w:tc>
      </w:tr>
      <w:tr w:rsidR="00834CC2" w:rsidRPr="00834CC2" w:rsidTr="000201B6">
        <w:tc>
          <w:tcPr>
            <w:tcW w:w="32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Питома вага групи у загальній кількості, відсотків</w:t>
            </w:r>
          </w:p>
        </w:tc>
        <w:tc>
          <w:tcPr>
            <w:tcW w:w="1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DC00AE" w:rsidP="003C77AB">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2,</w:t>
            </w:r>
            <w:r w:rsidR="003C77AB" w:rsidRPr="00834CC2">
              <w:rPr>
                <w:rFonts w:ascii="Times New Roman" w:eastAsia="Times New Roman" w:hAnsi="Times New Roman" w:cs="Times New Roman"/>
                <w:sz w:val="26"/>
                <w:szCs w:val="26"/>
                <w:lang w:val="uk-UA" w:eastAsia="ru-RU"/>
              </w:rPr>
              <w:t>4</w:t>
            </w:r>
          </w:p>
        </w:tc>
        <w:tc>
          <w:tcPr>
            <w:tcW w:w="15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3C77AB"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2</w:t>
            </w:r>
          </w:p>
        </w:tc>
        <w:tc>
          <w:tcPr>
            <w:tcW w:w="118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DC00AE" w:rsidP="00BB50A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3</w:t>
            </w:r>
            <w:r w:rsidR="00BB50A6" w:rsidRPr="00834CC2">
              <w:rPr>
                <w:rFonts w:ascii="Times New Roman" w:eastAsia="Times New Roman" w:hAnsi="Times New Roman" w:cs="Times New Roman"/>
                <w:sz w:val="26"/>
                <w:szCs w:val="26"/>
                <w:lang w:val="uk-UA" w:eastAsia="ru-RU"/>
              </w:rPr>
              <w:t>5,8</w:t>
            </w:r>
          </w:p>
        </w:tc>
        <w:tc>
          <w:tcPr>
            <w:tcW w:w="13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DC00AE"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59</w:t>
            </w:r>
            <w:r w:rsidR="00BB50A6" w:rsidRPr="00834CC2">
              <w:rPr>
                <w:rFonts w:ascii="Times New Roman" w:eastAsia="Times New Roman" w:hAnsi="Times New Roman" w:cs="Times New Roman"/>
                <w:sz w:val="26"/>
                <w:szCs w:val="26"/>
                <w:lang w:val="uk-UA" w:eastAsia="ru-RU"/>
              </w:rPr>
              <w:t>,8</w:t>
            </w:r>
          </w:p>
        </w:tc>
        <w:tc>
          <w:tcPr>
            <w:tcW w:w="129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100</w:t>
            </w:r>
          </w:p>
        </w:tc>
      </w:tr>
      <w:tr w:rsidR="00834CC2" w:rsidRPr="00834CC2" w:rsidTr="000201B6">
        <w:tc>
          <w:tcPr>
            <w:tcW w:w="32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0"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 </w:t>
            </w:r>
          </w:p>
        </w:tc>
        <w:tc>
          <w:tcPr>
            <w:tcW w:w="11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0"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 </w:t>
            </w:r>
          </w:p>
        </w:tc>
        <w:tc>
          <w:tcPr>
            <w:tcW w:w="15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0"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 </w:t>
            </w:r>
          </w:p>
        </w:tc>
        <w:tc>
          <w:tcPr>
            <w:tcW w:w="118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0"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 </w:t>
            </w:r>
          </w:p>
        </w:tc>
        <w:tc>
          <w:tcPr>
            <w:tcW w:w="13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0" w:line="240" w:lineRule="auto"/>
              <w:rPr>
                <w:rFonts w:ascii="Times New Roman" w:eastAsia="Times New Roman" w:hAnsi="Times New Roman" w:cs="Times New Roman"/>
                <w:sz w:val="26"/>
                <w:szCs w:val="26"/>
                <w:lang w:val="uk-UA" w:eastAsia="ru-RU"/>
              </w:rPr>
            </w:pPr>
          </w:p>
        </w:tc>
        <w:tc>
          <w:tcPr>
            <w:tcW w:w="129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0"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 </w:t>
            </w:r>
          </w:p>
        </w:tc>
      </w:tr>
    </w:tbl>
    <w:tbl>
      <w:tblPr>
        <w:tblpPr w:leftFromText="180" w:rightFromText="180" w:vertAnchor="text" w:tblpY="328"/>
        <w:tblW w:w="963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715"/>
        <w:gridCol w:w="4335"/>
        <w:gridCol w:w="2580"/>
      </w:tblGrid>
      <w:tr w:rsidR="00834CC2" w:rsidRPr="00834CC2" w:rsidTr="000201B6">
        <w:tc>
          <w:tcPr>
            <w:tcW w:w="27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F30022">
            <w:pPr>
              <w:spacing w:after="100" w:afterAutospacing="1" w:line="240" w:lineRule="auto"/>
              <w:jc w:val="center"/>
              <w:rPr>
                <w:rFonts w:ascii="Times New Roman" w:eastAsia="Times New Roman" w:hAnsi="Times New Roman" w:cs="Times New Roman"/>
                <w:b/>
                <w:sz w:val="26"/>
                <w:szCs w:val="26"/>
                <w:lang w:val="uk-UA" w:eastAsia="ru-RU"/>
              </w:rPr>
            </w:pPr>
            <w:r w:rsidRPr="00834CC2">
              <w:rPr>
                <w:rFonts w:ascii="Times New Roman" w:eastAsia="Times New Roman" w:hAnsi="Times New Roman" w:cs="Times New Roman"/>
                <w:b/>
                <w:sz w:val="26"/>
                <w:szCs w:val="26"/>
                <w:lang w:val="uk-UA" w:eastAsia="ru-RU"/>
              </w:rPr>
              <w:t>Вид альтернативи</w:t>
            </w:r>
          </w:p>
        </w:tc>
        <w:tc>
          <w:tcPr>
            <w:tcW w:w="4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F30022">
            <w:pPr>
              <w:spacing w:after="100" w:afterAutospacing="1" w:line="240" w:lineRule="auto"/>
              <w:jc w:val="center"/>
              <w:rPr>
                <w:rFonts w:ascii="Times New Roman" w:eastAsia="Times New Roman" w:hAnsi="Times New Roman" w:cs="Times New Roman"/>
                <w:b/>
                <w:sz w:val="26"/>
                <w:szCs w:val="26"/>
                <w:lang w:val="uk-UA" w:eastAsia="ru-RU"/>
              </w:rPr>
            </w:pPr>
            <w:r w:rsidRPr="00834CC2">
              <w:rPr>
                <w:rFonts w:ascii="Times New Roman" w:eastAsia="Times New Roman" w:hAnsi="Times New Roman" w:cs="Times New Roman"/>
                <w:b/>
                <w:sz w:val="26"/>
                <w:szCs w:val="26"/>
                <w:lang w:val="uk-UA" w:eastAsia="ru-RU"/>
              </w:rPr>
              <w:t>Вигоди</w:t>
            </w:r>
          </w:p>
        </w:tc>
        <w:tc>
          <w:tcPr>
            <w:tcW w:w="25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F30022">
            <w:pPr>
              <w:spacing w:after="100" w:afterAutospacing="1" w:line="240" w:lineRule="auto"/>
              <w:jc w:val="center"/>
              <w:rPr>
                <w:rFonts w:ascii="Times New Roman" w:eastAsia="Times New Roman" w:hAnsi="Times New Roman" w:cs="Times New Roman"/>
                <w:b/>
                <w:sz w:val="26"/>
                <w:szCs w:val="26"/>
                <w:lang w:val="uk-UA" w:eastAsia="ru-RU"/>
              </w:rPr>
            </w:pPr>
            <w:r w:rsidRPr="00834CC2">
              <w:rPr>
                <w:rFonts w:ascii="Times New Roman" w:eastAsia="Times New Roman" w:hAnsi="Times New Roman" w:cs="Times New Roman"/>
                <w:b/>
                <w:sz w:val="26"/>
                <w:szCs w:val="26"/>
                <w:lang w:val="uk-UA" w:eastAsia="ru-RU"/>
              </w:rPr>
              <w:t>Витрати</w:t>
            </w:r>
          </w:p>
        </w:tc>
      </w:tr>
      <w:tr w:rsidR="00834CC2" w:rsidRPr="00834CC2" w:rsidTr="0013732A">
        <w:tc>
          <w:tcPr>
            <w:tcW w:w="27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13732A">
            <w:pPr>
              <w:spacing w:after="100" w:afterAutospacing="1" w:line="240" w:lineRule="auto"/>
              <w:jc w:val="center"/>
              <w:rPr>
                <w:rFonts w:ascii="Times New Roman" w:eastAsia="Times New Roman" w:hAnsi="Times New Roman" w:cs="Times New Roman"/>
                <w:b/>
                <w:sz w:val="26"/>
                <w:szCs w:val="26"/>
                <w:u w:val="single"/>
                <w:lang w:val="uk-UA" w:eastAsia="ru-RU"/>
              </w:rPr>
            </w:pPr>
            <w:r w:rsidRPr="00834CC2">
              <w:rPr>
                <w:rFonts w:ascii="Times New Roman" w:eastAsia="Times New Roman" w:hAnsi="Times New Roman" w:cs="Times New Roman"/>
                <w:b/>
                <w:sz w:val="26"/>
                <w:szCs w:val="26"/>
                <w:u w:val="single"/>
                <w:lang w:val="uk-UA" w:eastAsia="ru-RU"/>
              </w:rPr>
              <w:t>Альтернатива 1</w:t>
            </w:r>
          </w:p>
        </w:tc>
        <w:tc>
          <w:tcPr>
            <w:tcW w:w="4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Організація роботи та заходів з благоустрою міста Умань, а також відновлення об’єктів благоустрою за рахунок місцевого бюджету.</w:t>
            </w:r>
          </w:p>
        </w:tc>
        <w:tc>
          <w:tcPr>
            <w:tcW w:w="25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Можливі витрати на покращення санітарного стану через брак фінансування з місцевого бюджету.</w:t>
            </w:r>
          </w:p>
        </w:tc>
      </w:tr>
      <w:tr w:rsidR="00834CC2" w:rsidRPr="00834CC2" w:rsidTr="0013732A">
        <w:tc>
          <w:tcPr>
            <w:tcW w:w="271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13732A">
            <w:pPr>
              <w:spacing w:after="100" w:afterAutospacing="1" w:line="240" w:lineRule="auto"/>
              <w:jc w:val="center"/>
              <w:rPr>
                <w:rFonts w:ascii="Times New Roman" w:eastAsia="Times New Roman" w:hAnsi="Times New Roman" w:cs="Times New Roman"/>
                <w:b/>
                <w:sz w:val="26"/>
                <w:szCs w:val="26"/>
                <w:u w:val="single"/>
                <w:lang w:val="uk-UA" w:eastAsia="ru-RU"/>
              </w:rPr>
            </w:pPr>
            <w:r w:rsidRPr="00834CC2">
              <w:rPr>
                <w:rFonts w:ascii="Times New Roman" w:eastAsia="Times New Roman" w:hAnsi="Times New Roman" w:cs="Times New Roman"/>
                <w:b/>
                <w:sz w:val="26"/>
                <w:szCs w:val="26"/>
                <w:u w:val="single"/>
                <w:lang w:val="uk-UA" w:eastAsia="ru-RU"/>
              </w:rPr>
              <w:t>Альтернатива 2</w:t>
            </w:r>
          </w:p>
        </w:tc>
        <w:tc>
          <w:tcPr>
            <w:tcW w:w="43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Чітке визначення прав та розподіл обов’язків у сфері благоустрою між громадянами, органами влади установами, організаціями та суб’єктами господарювання.</w:t>
            </w:r>
          </w:p>
        </w:tc>
        <w:tc>
          <w:tcPr>
            <w:tcW w:w="25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201B6" w:rsidRPr="00834CC2" w:rsidRDefault="000201B6" w:rsidP="000201B6">
            <w:pPr>
              <w:spacing w:after="100" w:afterAutospacing="1" w:line="240" w:lineRule="auto"/>
              <w:rPr>
                <w:rFonts w:ascii="Times New Roman" w:eastAsia="Times New Roman" w:hAnsi="Times New Roman" w:cs="Times New Roman"/>
                <w:sz w:val="26"/>
                <w:szCs w:val="26"/>
                <w:lang w:val="uk-UA" w:eastAsia="ru-RU"/>
              </w:rPr>
            </w:pPr>
            <w:r w:rsidRPr="00834CC2">
              <w:rPr>
                <w:rFonts w:ascii="Times New Roman" w:eastAsia="Times New Roman" w:hAnsi="Times New Roman" w:cs="Times New Roman"/>
                <w:sz w:val="26"/>
                <w:szCs w:val="26"/>
                <w:lang w:val="uk-UA" w:eastAsia="ru-RU"/>
              </w:rPr>
              <w:t xml:space="preserve">Витрати на виконання обов’язків, відповідно до затверджених Правил благоустрою населених пунктів (на оплату вивезення </w:t>
            </w:r>
            <w:r w:rsidRPr="00834CC2">
              <w:rPr>
                <w:rFonts w:ascii="Times New Roman" w:eastAsia="Times New Roman" w:hAnsi="Times New Roman" w:cs="Times New Roman"/>
                <w:sz w:val="26"/>
                <w:szCs w:val="26"/>
                <w:lang w:val="uk-UA" w:eastAsia="ru-RU"/>
              </w:rPr>
              <w:lastRenderedPageBreak/>
              <w:t>сміття, ТПВ, на утримання в належному стані власних об’єктів та елементів благоустрою тощо). Відшкодування збитків, завданих об’єкту благоустрою в разі порушення законодавства з благоустрою .</w:t>
            </w:r>
          </w:p>
        </w:tc>
      </w:tr>
    </w:tbl>
    <w:p w:rsidR="00180BCB" w:rsidRPr="00834CC2" w:rsidRDefault="00180BCB" w:rsidP="00180BCB">
      <w:pPr>
        <w:shd w:val="clear" w:color="auto" w:fill="FFFFFF"/>
        <w:spacing w:after="0" w:line="240" w:lineRule="auto"/>
        <w:rPr>
          <w:rFonts w:ascii="Times New Roman" w:hAnsi="Times New Roman" w:cs="Times New Roman"/>
          <w:sz w:val="26"/>
          <w:szCs w:val="26"/>
          <w:lang w:val="uk-UA"/>
        </w:rPr>
      </w:pPr>
    </w:p>
    <w:p w:rsidR="00113423" w:rsidRPr="00834CC2" w:rsidRDefault="00113423" w:rsidP="00113423">
      <w:pPr>
        <w:shd w:val="clear" w:color="auto" w:fill="FFFFFF"/>
        <w:spacing w:after="100" w:afterAutospacing="1" w:line="240" w:lineRule="auto"/>
        <w:rPr>
          <w:rFonts w:ascii="Times New Roman" w:hAnsi="Times New Roman" w:cs="Times New Roman"/>
          <w:b/>
          <w:sz w:val="26"/>
          <w:szCs w:val="26"/>
          <w:lang w:val="uk-UA"/>
        </w:rPr>
      </w:pPr>
      <w:r w:rsidRPr="00834CC2">
        <w:rPr>
          <w:rFonts w:ascii="Times New Roman" w:hAnsi="Times New Roman" w:cs="Times New Roman"/>
          <w:b/>
          <w:sz w:val="26"/>
          <w:szCs w:val="26"/>
          <w:lang w:val="uk-UA"/>
        </w:rPr>
        <w:t>IV. Вибір найбільш оптимального альтернативного способу досягнення цілей</w:t>
      </w:r>
    </w:p>
    <w:tbl>
      <w:tblPr>
        <w:tblStyle w:val="a4"/>
        <w:tblW w:w="0" w:type="auto"/>
        <w:tblLook w:val="04A0" w:firstRow="1" w:lastRow="0" w:firstColumn="1" w:lastColumn="0" w:noHBand="0" w:noVBand="1"/>
      </w:tblPr>
      <w:tblGrid>
        <w:gridCol w:w="3257"/>
        <w:gridCol w:w="2692"/>
        <w:gridCol w:w="3822"/>
      </w:tblGrid>
      <w:tr w:rsidR="00834CC2" w:rsidRPr="00834CC2" w:rsidTr="00963675">
        <w:tc>
          <w:tcPr>
            <w:tcW w:w="3257" w:type="dxa"/>
          </w:tcPr>
          <w:p w:rsidR="00A4659B" w:rsidRPr="00834CC2" w:rsidRDefault="00A4659B" w:rsidP="00113423">
            <w:pPr>
              <w:spacing w:after="100" w:afterAutospacing="1"/>
              <w:rPr>
                <w:rFonts w:ascii="Times New Roman" w:hAnsi="Times New Roman" w:cs="Times New Roman"/>
                <w:b/>
                <w:sz w:val="26"/>
                <w:szCs w:val="26"/>
                <w:lang w:val="uk-UA"/>
              </w:rPr>
            </w:pPr>
            <w:r w:rsidRPr="00834CC2">
              <w:rPr>
                <w:rFonts w:ascii="Times New Roman" w:hAnsi="Times New Roman" w:cs="Times New Roman"/>
                <w:b/>
                <w:sz w:val="26"/>
                <w:szCs w:val="26"/>
                <w:lang w:val="uk-UA"/>
              </w:rPr>
              <w:t>Рейтинг результативності (досягнення цілей під час вирішення проблеми)</w:t>
            </w:r>
          </w:p>
        </w:tc>
        <w:tc>
          <w:tcPr>
            <w:tcW w:w="2692" w:type="dxa"/>
          </w:tcPr>
          <w:p w:rsidR="00A4659B" w:rsidRPr="00834CC2" w:rsidRDefault="00A4659B" w:rsidP="00113423">
            <w:pPr>
              <w:spacing w:after="100" w:afterAutospacing="1"/>
              <w:rPr>
                <w:rFonts w:ascii="Times New Roman" w:hAnsi="Times New Roman" w:cs="Times New Roman"/>
                <w:b/>
                <w:sz w:val="26"/>
                <w:szCs w:val="26"/>
                <w:lang w:val="uk-UA"/>
              </w:rPr>
            </w:pPr>
            <w:r w:rsidRPr="00834CC2">
              <w:rPr>
                <w:rFonts w:ascii="Times New Roman" w:hAnsi="Times New Roman" w:cs="Times New Roman"/>
                <w:b/>
                <w:sz w:val="26"/>
                <w:szCs w:val="26"/>
                <w:lang w:val="uk-UA"/>
              </w:rPr>
              <w:t>Бал результативності (за чотирибальною системою оцінки)</w:t>
            </w:r>
          </w:p>
        </w:tc>
        <w:tc>
          <w:tcPr>
            <w:tcW w:w="3822" w:type="dxa"/>
          </w:tcPr>
          <w:p w:rsidR="00A4659B" w:rsidRPr="00834CC2" w:rsidRDefault="00963675" w:rsidP="00113423">
            <w:pPr>
              <w:spacing w:after="100" w:afterAutospacing="1"/>
              <w:rPr>
                <w:rFonts w:ascii="Times New Roman" w:hAnsi="Times New Roman" w:cs="Times New Roman"/>
                <w:b/>
                <w:sz w:val="26"/>
                <w:szCs w:val="26"/>
                <w:lang w:val="uk-UA"/>
              </w:rPr>
            </w:pPr>
            <w:r w:rsidRPr="00834CC2">
              <w:rPr>
                <w:rFonts w:ascii="Times New Roman" w:hAnsi="Times New Roman" w:cs="Times New Roman"/>
                <w:b/>
                <w:sz w:val="26"/>
                <w:szCs w:val="26"/>
                <w:lang w:val="uk-UA"/>
              </w:rPr>
              <w:t>Коментарі щодо присвоєння відповідного балу</w:t>
            </w:r>
          </w:p>
        </w:tc>
      </w:tr>
      <w:tr w:rsidR="00834CC2" w:rsidRPr="00834CC2" w:rsidTr="00963675">
        <w:tc>
          <w:tcPr>
            <w:tcW w:w="3257" w:type="dxa"/>
          </w:tcPr>
          <w:p w:rsidR="00A4659B" w:rsidRPr="00834CC2" w:rsidRDefault="00963675" w:rsidP="00113423">
            <w:pPr>
              <w:spacing w:after="100" w:afterAutospacing="1"/>
              <w:rPr>
                <w:rFonts w:ascii="Times New Roman" w:hAnsi="Times New Roman" w:cs="Times New Roman"/>
                <w:lang w:val="uk-UA"/>
              </w:rPr>
            </w:pPr>
            <w:r w:rsidRPr="00834CC2">
              <w:rPr>
                <w:rFonts w:ascii="Times New Roman" w:hAnsi="Times New Roman" w:cs="Times New Roman"/>
                <w:lang w:val="uk-UA"/>
              </w:rPr>
              <w:t>Відсутність регулювання</w:t>
            </w:r>
          </w:p>
        </w:tc>
        <w:tc>
          <w:tcPr>
            <w:tcW w:w="2692" w:type="dxa"/>
          </w:tcPr>
          <w:p w:rsidR="00A4659B" w:rsidRPr="00834CC2" w:rsidRDefault="00963675" w:rsidP="00113423">
            <w:pPr>
              <w:spacing w:after="100" w:afterAutospacing="1"/>
              <w:rPr>
                <w:rFonts w:ascii="Times New Roman" w:hAnsi="Times New Roman" w:cs="Times New Roman"/>
                <w:sz w:val="26"/>
                <w:szCs w:val="26"/>
                <w:lang w:val="uk-UA"/>
              </w:rPr>
            </w:pPr>
            <w:r w:rsidRPr="00834CC2">
              <w:rPr>
                <w:rFonts w:ascii="Times New Roman" w:hAnsi="Times New Roman" w:cs="Times New Roman"/>
                <w:sz w:val="26"/>
                <w:szCs w:val="26"/>
                <w:lang w:val="uk-UA"/>
              </w:rPr>
              <w:t>1</w:t>
            </w:r>
          </w:p>
        </w:tc>
        <w:tc>
          <w:tcPr>
            <w:tcW w:w="3822" w:type="dxa"/>
          </w:tcPr>
          <w:p w:rsidR="00A4659B" w:rsidRPr="00834CC2" w:rsidRDefault="00963675" w:rsidP="00113423">
            <w:pPr>
              <w:spacing w:after="100" w:afterAutospacing="1"/>
              <w:rPr>
                <w:rFonts w:ascii="Times New Roman" w:hAnsi="Times New Roman" w:cs="Times New Roman"/>
                <w:sz w:val="26"/>
                <w:szCs w:val="26"/>
                <w:lang w:val="uk-UA"/>
              </w:rPr>
            </w:pPr>
            <w:r w:rsidRPr="00834CC2">
              <w:rPr>
                <w:rFonts w:ascii="Times New Roman" w:hAnsi="Times New Roman" w:cs="Times New Roman"/>
                <w:sz w:val="26"/>
                <w:szCs w:val="26"/>
                <w:lang w:val="uk-UA"/>
              </w:rPr>
              <w:t>Проблема продовжує існувати</w:t>
            </w:r>
          </w:p>
        </w:tc>
      </w:tr>
      <w:tr w:rsidR="00A4659B" w:rsidRPr="00834CC2" w:rsidTr="00963675">
        <w:trPr>
          <w:trHeight w:val="1252"/>
        </w:trPr>
        <w:tc>
          <w:tcPr>
            <w:tcW w:w="3257" w:type="dxa"/>
          </w:tcPr>
          <w:p w:rsidR="00A4659B" w:rsidRPr="00834CC2" w:rsidRDefault="00963675" w:rsidP="00834CC2">
            <w:pPr>
              <w:spacing w:after="100" w:afterAutospacing="1"/>
              <w:rPr>
                <w:rFonts w:ascii="Times New Roman" w:hAnsi="Times New Roman" w:cs="Times New Roman"/>
                <w:sz w:val="26"/>
                <w:szCs w:val="26"/>
                <w:lang w:val="uk-UA"/>
              </w:rPr>
            </w:pPr>
            <w:r w:rsidRPr="00834CC2">
              <w:rPr>
                <w:rFonts w:ascii="Times New Roman" w:hAnsi="Times New Roman" w:cs="Times New Roman"/>
                <w:lang w:val="uk-UA"/>
              </w:rPr>
              <w:t xml:space="preserve">Прийняття </w:t>
            </w:r>
            <w:proofErr w:type="spellStart"/>
            <w:r w:rsidRPr="00834CC2">
              <w:rPr>
                <w:rFonts w:ascii="Times New Roman" w:hAnsi="Times New Roman" w:cs="Times New Roman"/>
                <w:lang w:val="uk-UA"/>
              </w:rPr>
              <w:t>Студеникі</w:t>
            </w:r>
            <w:r w:rsidR="00834CC2" w:rsidRPr="00834CC2">
              <w:rPr>
                <w:rFonts w:ascii="Times New Roman" w:hAnsi="Times New Roman" w:cs="Times New Roman"/>
                <w:lang w:val="uk-UA"/>
              </w:rPr>
              <w:t>вською</w:t>
            </w:r>
            <w:proofErr w:type="spellEnd"/>
            <w:r w:rsidR="00834CC2" w:rsidRPr="00834CC2">
              <w:rPr>
                <w:rFonts w:ascii="Times New Roman" w:hAnsi="Times New Roman" w:cs="Times New Roman"/>
                <w:lang w:val="uk-UA"/>
              </w:rPr>
              <w:t xml:space="preserve"> сільською радою рішення </w:t>
            </w:r>
            <w:r w:rsidR="00834CC2" w:rsidRPr="00834CC2">
              <w:rPr>
                <w:rFonts w:ascii="Times New Roman" w:hAnsi="Times New Roman" w:cs="Times New Roman"/>
                <w:lang w:val="uk-UA"/>
              </w:rPr>
              <w:t xml:space="preserve">«Про затвердження Правил благоустрою території населених пунктів </w:t>
            </w:r>
            <w:proofErr w:type="spellStart"/>
            <w:r w:rsidR="00834CC2" w:rsidRPr="00834CC2">
              <w:rPr>
                <w:rFonts w:ascii="Times New Roman" w:hAnsi="Times New Roman" w:cs="Times New Roman"/>
                <w:lang w:val="uk-UA"/>
              </w:rPr>
              <w:t>Студениківської</w:t>
            </w:r>
            <w:proofErr w:type="spellEnd"/>
            <w:r w:rsidR="00834CC2" w:rsidRPr="00834CC2">
              <w:rPr>
                <w:rFonts w:ascii="Times New Roman" w:hAnsi="Times New Roman" w:cs="Times New Roman"/>
                <w:lang w:val="uk-UA"/>
              </w:rPr>
              <w:t xml:space="preserve"> сільської територіальної громади»</w:t>
            </w:r>
          </w:p>
        </w:tc>
        <w:tc>
          <w:tcPr>
            <w:tcW w:w="2692" w:type="dxa"/>
          </w:tcPr>
          <w:p w:rsidR="00A4659B" w:rsidRPr="00834CC2" w:rsidRDefault="00963675" w:rsidP="00113423">
            <w:pPr>
              <w:spacing w:after="100" w:afterAutospacing="1"/>
              <w:rPr>
                <w:rFonts w:ascii="Times New Roman" w:hAnsi="Times New Roman" w:cs="Times New Roman"/>
                <w:sz w:val="26"/>
                <w:szCs w:val="26"/>
                <w:lang w:val="uk-UA"/>
              </w:rPr>
            </w:pPr>
            <w:r w:rsidRPr="00834CC2">
              <w:rPr>
                <w:rFonts w:ascii="Times New Roman" w:hAnsi="Times New Roman" w:cs="Times New Roman"/>
                <w:sz w:val="26"/>
                <w:szCs w:val="26"/>
                <w:lang w:val="uk-UA"/>
              </w:rPr>
              <w:t>3</w:t>
            </w:r>
          </w:p>
        </w:tc>
        <w:tc>
          <w:tcPr>
            <w:tcW w:w="3822" w:type="dxa"/>
          </w:tcPr>
          <w:p w:rsidR="00A4659B" w:rsidRPr="00834CC2" w:rsidRDefault="00963675" w:rsidP="00113423">
            <w:pPr>
              <w:spacing w:after="100" w:afterAutospacing="1"/>
              <w:rPr>
                <w:rFonts w:ascii="Times New Roman" w:hAnsi="Times New Roman" w:cs="Times New Roman"/>
                <w:sz w:val="26"/>
                <w:szCs w:val="26"/>
                <w:lang w:val="uk-UA"/>
              </w:rPr>
            </w:pPr>
            <w:r w:rsidRPr="00834CC2">
              <w:rPr>
                <w:rFonts w:ascii="Times New Roman" w:hAnsi="Times New Roman" w:cs="Times New Roman"/>
                <w:sz w:val="26"/>
                <w:szCs w:val="26"/>
                <w:lang w:val="uk-UA"/>
              </w:rPr>
              <w:t>Усі важливі аспекти проблеми будуть врегульовані</w:t>
            </w:r>
          </w:p>
        </w:tc>
      </w:tr>
    </w:tbl>
    <w:p w:rsidR="00113423" w:rsidRPr="00834CC2" w:rsidRDefault="00113423" w:rsidP="00113423">
      <w:pPr>
        <w:shd w:val="clear" w:color="auto" w:fill="FFFFFF"/>
        <w:spacing w:after="100" w:afterAutospacing="1" w:line="240" w:lineRule="auto"/>
        <w:rPr>
          <w:rFonts w:ascii="Times New Roman" w:hAnsi="Times New Roman" w:cs="Times New Roman"/>
          <w:sz w:val="16"/>
          <w:szCs w:val="16"/>
          <w:lang w:val="uk-UA"/>
        </w:rPr>
      </w:pPr>
    </w:p>
    <w:tbl>
      <w:tblPr>
        <w:tblStyle w:val="a4"/>
        <w:tblW w:w="0" w:type="auto"/>
        <w:tblLook w:val="04A0" w:firstRow="1" w:lastRow="0" w:firstColumn="1" w:lastColumn="0" w:noHBand="0" w:noVBand="1"/>
      </w:tblPr>
      <w:tblGrid>
        <w:gridCol w:w="2972"/>
        <w:gridCol w:w="1843"/>
        <w:gridCol w:w="2513"/>
        <w:gridCol w:w="2443"/>
      </w:tblGrid>
      <w:tr w:rsidR="00834CC2" w:rsidRPr="00834CC2" w:rsidTr="00F30022">
        <w:tc>
          <w:tcPr>
            <w:tcW w:w="2972" w:type="dxa"/>
          </w:tcPr>
          <w:p w:rsidR="00963675" w:rsidRPr="00834CC2" w:rsidRDefault="00963675" w:rsidP="00113423">
            <w:pPr>
              <w:spacing w:after="100" w:afterAutospacing="1"/>
              <w:rPr>
                <w:rFonts w:ascii="Times New Roman" w:hAnsi="Times New Roman" w:cs="Times New Roman"/>
                <w:b/>
                <w:sz w:val="24"/>
                <w:szCs w:val="24"/>
                <w:lang w:val="uk-UA"/>
              </w:rPr>
            </w:pPr>
            <w:r w:rsidRPr="00834CC2">
              <w:rPr>
                <w:rFonts w:ascii="Times New Roman" w:hAnsi="Times New Roman" w:cs="Times New Roman"/>
                <w:b/>
                <w:sz w:val="24"/>
                <w:szCs w:val="24"/>
                <w:lang w:val="uk-UA"/>
              </w:rPr>
              <w:t>Рейтинг результативності</w:t>
            </w:r>
          </w:p>
        </w:tc>
        <w:tc>
          <w:tcPr>
            <w:tcW w:w="1843" w:type="dxa"/>
          </w:tcPr>
          <w:p w:rsidR="00963675" w:rsidRPr="00834CC2" w:rsidRDefault="00963675" w:rsidP="00113423">
            <w:pPr>
              <w:spacing w:after="100" w:afterAutospacing="1"/>
              <w:rPr>
                <w:rFonts w:ascii="Times New Roman" w:hAnsi="Times New Roman" w:cs="Times New Roman"/>
                <w:b/>
                <w:sz w:val="24"/>
                <w:szCs w:val="24"/>
                <w:lang w:val="uk-UA"/>
              </w:rPr>
            </w:pPr>
            <w:r w:rsidRPr="00834CC2">
              <w:rPr>
                <w:rFonts w:ascii="Times New Roman" w:hAnsi="Times New Roman" w:cs="Times New Roman"/>
                <w:b/>
                <w:sz w:val="24"/>
                <w:szCs w:val="24"/>
                <w:lang w:val="uk-UA"/>
              </w:rPr>
              <w:t>Вигоди (підсумок)</w:t>
            </w:r>
          </w:p>
        </w:tc>
        <w:tc>
          <w:tcPr>
            <w:tcW w:w="2513" w:type="dxa"/>
          </w:tcPr>
          <w:p w:rsidR="00963675" w:rsidRPr="00834CC2" w:rsidRDefault="00963675" w:rsidP="00113423">
            <w:pPr>
              <w:spacing w:after="100" w:afterAutospacing="1"/>
              <w:rPr>
                <w:rFonts w:ascii="Times New Roman" w:hAnsi="Times New Roman" w:cs="Times New Roman"/>
                <w:b/>
                <w:sz w:val="24"/>
                <w:szCs w:val="24"/>
                <w:lang w:val="uk-UA"/>
              </w:rPr>
            </w:pPr>
            <w:r w:rsidRPr="00834CC2">
              <w:rPr>
                <w:rFonts w:ascii="Times New Roman" w:hAnsi="Times New Roman" w:cs="Times New Roman"/>
                <w:b/>
                <w:sz w:val="24"/>
                <w:szCs w:val="24"/>
                <w:lang w:val="uk-UA"/>
              </w:rPr>
              <w:t>Витрати (підсумок)</w:t>
            </w:r>
          </w:p>
        </w:tc>
        <w:tc>
          <w:tcPr>
            <w:tcW w:w="2443" w:type="dxa"/>
          </w:tcPr>
          <w:p w:rsidR="00963675" w:rsidRPr="00834CC2" w:rsidRDefault="00F30022" w:rsidP="00113423">
            <w:pPr>
              <w:spacing w:after="100" w:afterAutospacing="1"/>
              <w:rPr>
                <w:rFonts w:ascii="Times New Roman" w:hAnsi="Times New Roman" w:cs="Times New Roman"/>
                <w:b/>
                <w:sz w:val="24"/>
                <w:szCs w:val="24"/>
                <w:lang w:val="uk-UA"/>
              </w:rPr>
            </w:pPr>
            <w:r w:rsidRPr="00834CC2">
              <w:rPr>
                <w:rFonts w:ascii="Times New Roman" w:hAnsi="Times New Roman" w:cs="Times New Roman"/>
                <w:b/>
                <w:sz w:val="24"/>
                <w:szCs w:val="24"/>
                <w:lang w:val="uk-UA"/>
              </w:rPr>
              <w:t>Обґрунтування</w:t>
            </w:r>
            <w:r w:rsidR="00963675" w:rsidRPr="00834CC2">
              <w:rPr>
                <w:rFonts w:ascii="Times New Roman" w:hAnsi="Times New Roman" w:cs="Times New Roman"/>
                <w:b/>
                <w:sz w:val="24"/>
                <w:szCs w:val="24"/>
                <w:lang w:val="uk-UA"/>
              </w:rPr>
              <w:t xml:space="preserve"> відповідного місця альтернативи у рейтингу</w:t>
            </w:r>
          </w:p>
        </w:tc>
      </w:tr>
      <w:tr w:rsidR="00834CC2" w:rsidRPr="00834CC2" w:rsidTr="0013732A">
        <w:tc>
          <w:tcPr>
            <w:tcW w:w="2972" w:type="dxa"/>
            <w:vAlign w:val="center"/>
          </w:tcPr>
          <w:p w:rsidR="00963675" w:rsidRPr="00834CC2" w:rsidRDefault="00963675" w:rsidP="0013732A">
            <w:pPr>
              <w:spacing w:after="100" w:afterAutospacing="1"/>
              <w:rPr>
                <w:rFonts w:ascii="Times New Roman" w:hAnsi="Times New Roman" w:cs="Times New Roman"/>
                <w:sz w:val="26"/>
                <w:szCs w:val="26"/>
                <w:lang w:val="uk-UA"/>
              </w:rPr>
            </w:pPr>
            <w:r w:rsidRPr="00834CC2">
              <w:rPr>
                <w:rFonts w:ascii="Times New Roman" w:hAnsi="Times New Roman" w:cs="Times New Roman"/>
                <w:lang w:val="uk-UA"/>
              </w:rPr>
              <w:t xml:space="preserve">Прийняття </w:t>
            </w:r>
            <w:proofErr w:type="spellStart"/>
            <w:r w:rsidRPr="00834CC2">
              <w:rPr>
                <w:rFonts w:ascii="Times New Roman" w:hAnsi="Times New Roman" w:cs="Times New Roman"/>
                <w:lang w:val="uk-UA"/>
              </w:rPr>
              <w:t>Студеників</w:t>
            </w:r>
            <w:r w:rsidR="00834CC2" w:rsidRPr="00834CC2">
              <w:rPr>
                <w:rFonts w:ascii="Times New Roman" w:hAnsi="Times New Roman" w:cs="Times New Roman"/>
                <w:lang w:val="uk-UA"/>
              </w:rPr>
              <w:t>ською</w:t>
            </w:r>
            <w:proofErr w:type="spellEnd"/>
            <w:r w:rsidR="00834CC2" w:rsidRPr="00834CC2">
              <w:rPr>
                <w:rFonts w:ascii="Times New Roman" w:hAnsi="Times New Roman" w:cs="Times New Roman"/>
                <w:lang w:val="uk-UA"/>
              </w:rPr>
              <w:t xml:space="preserve"> сільською радою рішення «Про затвердження П</w:t>
            </w:r>
            <w:r w:rsidRPr="00834CC2">
              <w:rPr>
                <w:rFonts w:ascii="Times New Roman" w:hAnsi="Times New Roman" w:cs="Times New Roman"/>
                <w:lang w:val="uk-UA"/>
              </w:rPr>
              <w:t xml:space="preserve">равил благоустрою </w:t>
            </w:r>
            <w:r w:rsidR="00834CC2" w:rsidRPr="00834CC2">
              <w:rPr>
                <w:rFonts w:ascii="Times New Roman" w:hAnsi="Times New Roman" w:cs="Times New Roman"/>
                <w:lang w:val="uk-UA"/>
              </w:rPr>
              <w:t xml:space="preserve">території населених пунктів </w:t>
            </w:r>
            <w:proofErr w:type="spellStart"/>
            <w:r w:rsidRPr="00834CC2">
              <w:rPr>
                <w:rFonts w:ascii="Times New Roman" w:hAnsi="Times New Roman" w:cs="Times New Roman"/>
                <w:lang w:val="uk-UA"/>
              </w:rPr>
              <w:t>Студениківської</w:t>
            </w:r>
            <w:proofErr w:type="spellEnd"/>
            <w:r w:rsidRPr="00834CC2">
              <w:rPr>
                <w:rFonts w:ascii="Times New Roman" w:hAnsi="Times New Roman" w:cs="Times New Roman"/>
                <w:lang w:val="uk-UA"/>
              </w:rPr>
              <w:t xml:space="preserve"> сільської територіальної громади»</w:t>
            </w:r>
          </w:p>
        </w:tc>
        <w:tc>
          <w:tcPr>
            <w:tcW w:w="1843" w:type="dxa"/>
          </w:tcPr>
          <w:p w:rsidR="00963675" w:rsidRPr="00834CC2" w:rsidRDefault="00F30022" w:rsidP="00113423">
            <w:pPr>
              <w:spacing w:after="100" w:afterAutospacing="1"/>
              <w:rPr>
                <w:rFonts w:ascii="Times New Roman" w:hAnsi="Times New Roman" w:cs="Times New Roman"/>
                <w:lang w:val="uk-UA"/>
              </w:rPr>
            </w:pPr>
            <w:r w:rsidRPr="00834CC2">
              <w:rPr>
                <w:rFonts w:ascii="Times New Roman" w:hAnsi="Times New Roman" w:cs="Times New Roman"/>
                <w:lang w:val="uk-UA"/>
              </w:rPr>
              <w:t xml:space="preserve">Покращення санітарного стану міста </w:t>
            </w:r>
          </w:p>
        </w:tc>
        <w:tc>
          <w:tcPr>
            <w:tcW w:w="2513" w:type="dxa"/>
          </w:tcPr>
          <w:p w:rsidR="00963675" w:rsidRPr="00834CC2" w:rsidRDefault="00F30022" w:rsidP="00113423">
            <w:pPr>
              <w:spacing w:after="100" w:afterAutospacing="1"/>
              <w:rPr>
                <w:rFonts w:ascii="Times New Roman" w:hAnsi="Times New Roman" w:cs="Times New Roman"/>
                <w:lang w:val="uk-UA"/>
              </w:rPr>
            </w:pPr>
            <w:r w:rsidRPr="00834CC2">
              <w:rPr>
                <w:rFonts w:ascii="Times New Roman" w:hAnsi="Times New Roman" w:cs="Times New Roman"/>
                <w:lang w:val="uk-UA"/>
              </w:rPr>
              <w:t>Витрати робочого часу спеціалістів а підготовку регуляторного акту, контроль за виконанням регуляторного акту за рік орієнтовно 500 грн.</w:t>
            </w:r>
          </w:p>
        </w:tc>
        <w:tc>
          <w:tcPr>
            <w:tcW w:w="2443" w:type="dxa"/>
          </w:tcPr>
          <w:p w:rsidR="00963675" w:rsidRPr="00834CC2" w:rsidRDefault="00F30022" w:rsidP="00113423">
            <w:pPr>
              <w:spacing w:after="100" w:afterAutospacing="1"/>
              <w:rPr>
                <w:rFonts w:ascii="Times New Roman" w:hAnsi="Times New Roman" w:cs="Times New Roman"/>
                <w:lang w:val="uk-UA"/>
              </w:rPr>
            </w:pPr>
            <w:r w:rsidRPr="00834CC2">
              <w:rPr>
                <w:rFonts w:ascii="Times New Roman" w:hAnsi="Times New Roman" w:cs="Times New Roman"/>
                <w:lang w:val="uk-UA"/>
              </w:rPr>
              <w:t xml:space="preserve">Усі </w:t>
            </w:r>
            <w:proofErr w:type="spellStart"/>
            <w:r w:rsidRPr="00834CC2">
              <w:rPr>
                <w:rFonts w:ascii="Times New Roman" w:hAnsi="Times New Roman" w:cs="Times New Roman"/>
                <w:lang w:val="uk-UA"/>
              </w:rPr>
              <w:t>віажливі</w:t>
            </w:r>
            <w:proofErr w:type="spellEnd"/>
            <w:r w:rsidRPr="00834CC2">
              <w:rPr>
                <w:rFonts w:ascii="Times New Roman" w:hAnsi="Times New Roman" w:cs="Times New Roman"/>
                <w:lang w:val="uk-UA"/>
              </w:rPr>
              <w:t xml:space="preserve"> аспекти проблеми існувати не будуть</w:t>
            </w:r>
          </w:p>
        </w:tc>
      </w:tr>
      <w:tr w:rsidR="00963675" w:rsidRPr="00834CC2" w:rsidTr="0013732A">
        <w:trPr>
          <w:trHeight w:val="439"/>
        </w:trPr>
        <w:tc>
          <w:tcPr>
            <w:tcW w:w="2972" w:type="dxa"/>
            <w:vAlign w:val="center"/>
          </w:tcPr>
          <w:p w:rsidR="00963675" w:rsidRPr="00834CC2" w:rsidRDefault="00913AB4" w:rsidP="0013732A">
            <w:pPr>
              <w:spacing w:after="100" w:afterAutospacing="1"/>
              <w:rPr>
                <w:rFonts w:ascii="Times New Roman" w:hAnsi="Times New Roman" w:cs="Times New Roman"/>
                <w:sz w:val="26"/>
                <w:szCs w:val="26"/>
                <w:lang w:val="uk-UA"/>
              </w:rPr>
            </w:pPr>
            <w:r w:rsidRPr="00834CC2">
              <w:rPr>
                <w:rFonts w:ascii="Times New Roman" w:hAnsi="Times New Roman" w:cs="Times New Roman"/>
                <w:lang w:val="uk-UA"/>
              </w:rPr>
              <w:t>Відсутність регулювання</w:t>
            </w:r>
          </w:p>
        </w:tc>
        <w:tc>
          <w:tcPr>
            <w:tcW w:w="1843" w:type="dxa"/>
          </w:tcPr>
          <w:p w:rsidR="00963675" w:rsidRPr="00834CC2" w:rsidRDefault="00F30022" w:rsidP="00113423">
            <w:pPr>
              <w:spacing w:after="100" w:afterAutospacing="1"/>
              <w:rPr>
                <w:rFonts w:ascii="Times New Roman" w:hAnsi="Times New Roman" w:cs="Times New Roman"/>
                <w:lang w:val="uk-UA"/>
              </w:rPr>
            </w:pPr>
            <w:r w:rsidRPr="00834CC2">
              <w:rPr>
                <w:rFonts w:ascii="Times New Roman" w:hAnsi="Times New Roman" w:cs="Times New Roman"/>
                <w:lang w:val="uk-UA"/>
              </w:rPr>
              <w:t>Відсутні</w:t>
            </w:r>
          </w:p>
        </w:tc>
        <w:tc>
          <w:tcPr>
            <w:tcW w:w="2513" w:type="dxa"/>
          </w:tcPr>
          <w:p w:rsidR="00963675" w:rsidRPr="00834CC2" w:rsidRDefault="00F30022" w:rsidP="00113423">
            <w:pPr>
              <w:spacing w:after="100" w:afterAutospacing="1"/>
              <w:rPr>
                <w:rFonts w:ascii="Times New Roman" w:hAnsi="Times New Roman" w:cs="Times New Roman"/>
                <w:lang w:val="uk-UA"/>
              </w:rPr>
            </w:pPr>
            <w:r w:rsidRPr="00834CC2">
              <w:rPr>
                <w:rFonts w:ascii="Times New Roman" w:hAnsi="Times New Roman" w:cs="Times New Roman"/>
                <w:lang w:val="uk-UA"/>
              </w:rPr>
              <w:t>Відновлення об’єктів благоустрою ліквідація стихійних сміттєзвалищ за кошти бюджету, неможливість накладення штрафу по статті 152 КУпАП</w:t>
            </w:r>
          </w:p>
        </w:tc>
        <w:tc>
          <w:tcPr>
            <w:tcW w:w="2443" w:type="dxa"/>
          </w:tcPr>
          <w:p w:rsidR="00963675" w:rsidRPr="00834CC2" w:rsidRDefault="00F30022" w:rsidP="00113423">
            <w:pPr>
              <w:spacing w:after="100" w:afterAutospacing="1"/>
              <w:rPr>
                <w:rFonts w:ascii="Times New Roman" w:hAnsi="Times New Roman" w:cs="Times New Roman"/>
                <w:lang w:val="uk-UA"/>
              </w:rPr>
            </w:pPr>
            <w:r w:rsidRPr="00834CC2">
              <w:rPr>
                <w:rFonts w:ascii="Times New Roman" w:hAnsi="Times New Roman" w:cs="Times New Roman"/>
                <w:lang w:val="uk-UA"/>
              </w:rPr>
              <w:t>Проблема продовжує існувати</w:t>
            </w:r>
          </w:p>
        </w:tc>
      </w:tr>
    </w:tbl>
    <w:p w:rsidR="00963675" w:rsidRPr="00834CC2" w:rsidRDefault="00963675" w:rsidP="00113423">
      <w:pPr>
        <w:shd w:val="clear" w:color="auto" w:fill="FFFFFF"/>
        <w:spacing w:after="100" w:afterAutospacing="1" w:line="240" w:lineRule="auto"/>
        <w:rPr>
          <w:rFonts w:ascii="Times New Roman" w:hAnsi="Times New Roman" w:cs="Times New Roman"/>
          <w:sz w:val="16"/>
          <w:szCs w:val="16"/>
          <w:lang w:val="uk-UA"/>
        </w:rPr>
      </w:pPr>
    </w:p>
    <w:tbl>
      <w:tblPr>
        <w:tblStyle w:val="a4"/>
        <w:tblW w:w="0" w:type="auto"/>
        <w:tblLook w:val="04A0" w:firstRow="1" w:lastRow="0" w:firstColumn="1" w:lastColumn="0" w:noHBand="0" w:noVBand="1"/>
      </w:tblPr>
      <w:tblGrid>
        <w:gridCol w:w="2122"/>
        <w:gridCol w:w="2763"/>
        <w:gridCol w:w="2443"/>
        <w:gridCol w:w="2443"/>
      </w:tblGrid>
      <w:tr w:rsidR="00834CC2" w:rsidRPr="00834CC2" w:rsidTr="00180BCB">
        <w:tc>
          <w:tcPr>
            <w:tcW w:w="2122" w:type="dxa"/>
          </w:tcPr>
          <w:p w:rsidR="00180BCB" w:rsidRPr="00834CC2" w:rsidRDefault="00180BCB" w:rsidP="00180BCB">
            <w:pPr>
              <w:spacing w:after="100" w:afterAutospacing="1"/>
              <w:rPr>
                <w:rFonts w:ascii="Times New Roman" w:hAnsi="Times New Roman" w:cs="Times New Roman"/>
                <w:b/>
                <w:sz w:val="24"/>
                <w:szCs w:val="24"/>
                <w:lang w:val="uk-UA"/>
              </w:rPr>
            </w:pPr>
            <w:r w:rsidRPr="00834CC2">
              <w:rPr>
                <w:rFonts w:ascii="Times New Roman" w:hAnsi="Times New Roman" w:cs="Times New Roman"/>
                <w:b/>
                <w:sz w:val="24"/>
                <w:szCs w:val="24"/>
                <w:lang w:val="uk-UA"/>
              </w:rPr>
              <w:t>Рейтинг результативності</w:t>
            </w:r>
          </w:p>
        </w:tc>
        <w:tc>
          <w:tcPr>
            <w:tcW w:w="2763" w:type="dxa"/>
          </w:tcPr>
          <w:p w:rsidR="00180BCB" w:rsidRPr="00834CC2" w:rsidRDefault="00180BCB" w:rsidP="00180BCB">
            <w:pPr>
              <w:spacing w:after="100" w:afterAutospacing="1"/>
              <w:rPr>
                <w:rFonts w:ascii="Times New Roman" w:hAnsi="Times New Roman" w:cs="Times New Roman"/>
                <w:b/>
                <w:sz w:val="24"/>
                <w:szCs w:val="24"/>
                <w:lang w:val="uk-UA"/>
              </w:rPr>
            </w:pPr>
            <w:r w:rsidRPr="00834CC2">
              <w:rPr>
                <w:rFonts w:ascii="Times New Roman" w:hAnsi="Times New Roman" w:cs="Times New Roman"/>
                <w:b/>
                <w:sz w:val="24"/>
                <w:szCs w:val="24"/>
                <w:lang w:val="uk-UA"/>
              </w:rPr>
              <w:t>Вигоди (підсумок)</w:t>
            </w:r>
          </w:p>
        </w:tc>
        <w:tc>
          <w:tcPr>
            <w:tcW w:w="2443" w:type="dxa"/>
          </w:tcPr>
          <w:p w:rsidR="00180BCB" w:rsidRPr="00834CC2" w:rsidRDefault="00180BCB" w:rsidP="00180BCB">
            <w:pPr>
              <w:spacing w:after="100" w:afterAutospacing="1"/>
              <w:rPr>
                <w:rFonts w:ascii="Times New Roman" w:hAnsi="Times New Roman" w:cs="Times New Roman"/>
                <w:b/>
                <w:sz w:val="24"/>
                <w:szCs w:val="24"/>
                <w:lang w:val="uk-UA"/>
              </w:rPr>
            </w:pPr>
            <w:r w:rsidRPr="00834CC2">
              <w:rPr>
                <w:rFonts w:ascii="Times New Roman" w:hAnsi="Times New Roman" w:cs="Times New Roman"/>
                <w:b/>
                <w:sz w:val="24"/>
                <w:szCs w:val="24"/>
                <w:lang w:val="uk-UA"/>
              </w:rPr>
              <w:t>Витрати (підсумок)</w:t>
            </w:r>
          </w:p>
        </w:tc>
        <w:tc>
          <w:tcPr>
            <w:tcW w:w="2443" w:type="dxa"/>
          </w:tcPr>
          <w:p w:rsidR="00180BCB" w:rsidRPr="00834CC2" w:rsidRDefault="00180BCB" w:rsidP="00180BCB">
            <w:pPr>
              <w:spacing w:after="100" w:afterAutospacing="1"/>
              <w:rPr>
                <w:rFonts w:ascii="Times New Roman" w:hAnsi="Times New Roman" w:cs="Times New Roman"/>
                <w:b/>
                <w:sz w:val="24"/>
                <w:szCs w:val="24"/>
                <w:lang w:val="uk-UA"/>
              </w:rPr>
            </w:pPr>
            <w:r w:rsidRPr="00834CC2">
              <w:rPr>
                <w:rFonts w:ascii="Times New Roman" w:hAnsi="Times New Roman" w:cs="Times New Roman"/>
                <w:b/>
                <w:sz w:val="24"/>
                <w:szCs w:val="24"/>
                <w:lang w:val="uk-UA"/>
              </w:rPr>
              <w:t>Обґрунтування відповідного місця альтернативи у рейтингу</w:t>
            </w:r>
          </w:p>
        </w:tc>
      </w:tr>
      <w:tr w:rsidR="00834CC2" w:rsidRPr="00834CC2" w:rsidTr="0013732A">
        <w:tc>
          <w:tcPr>
            <w:tcW w:w="2122" w:type="dxa"/>
            <w:vAlign w:val="center"/>
          </w:tcPr>
          <w:p w:rsidR="00180BCB" w:rsidRPr="00834CC2" w:rsidRDefault="00180BCB" w:rsidP="0013732A">
            <w:pPr>
              <w:spacing w:after="100" w:afterAutospacing="1"/>
              <w:jc w:val="center"/>
              <w:rPr>
                <w:rFonts w:ascii="Times New Roman" w:hAnsi="Times New Roman" w:cs="Times New Roman"/>
                <w:b/>
                <w:u w:val="single"/>
                <w:lang w:val="uk-UA"/>
              </w:rPr>
            </w:pPr>
            <w:r w:rsidRPr="00834CC2">
              <w:rPr>
                <w:rFonts w:ascii="Times New Roman" w:hAnsi="Times New Roman" w:cs="Times New Roman"/>
                <w:b/>
                <w:u w:val="single"/>
                <w:lang w:val="uk-UA"/>
              </w:rPr>
              <w:lastRenderedPageBreak/>
              <w:t>Альтернатива № 1</w:t>
            </w:r>
          </w:p>
        </w:tc>
        <w:tc>
          <w:tcPr>
            <w:tcW w:w="2763" w:type="dxa"/>
          </w:tcPr>
          <w:p w:rsidR="00180BCB" w:rsidRPr="00834CC2" w:rsidRDefault="00180BCB" w:rsidP="00180BCB">
            <w:pPr>
              <w:spacing w:after="100" w:afterAutospacing="1"/>
              <w:rPr>
                <w:rFonts w:ascii="Times New Roman" w:hAnsi="Times New Roman" w:cs="Times New Roman"/>
                <w:sz w:val="24"/>
                <w:szCs w:val="24"/>
                <w:lang w:val="uk-UA"/>
              </w:rPr>
            </w:pPr>
            <w:r w:rsidRPr="00834CC2">
              <w:rPr>
                <w:rFonts w:ascii="Times New Roman" w:hAnsi="Times New Roman" w:cs="Times New Roman"/>
                <w:sz w:val="24"/>
                <w:szCs w:val="24"/>
                <w:lang w:val="uk-UA"/>
              </w:rPr>
              <w:t xml:space="preserve">У випадку залишення існуючої ситуації без змін, вигоди для держави, громадян та </w:t>
            </w:r>
            <w:proofErr w:type="spellStart"/>
            <w:r w:rsidRPr="00834CC2">
              <w:rPr>
                <w:rFonts w:ascii="Times New Roman" w:hAnsi="Times New Roman" w:cs="Times New Roman"/>
                <w:sz w:val="24"/>
                <w:szCs w:val="24"/>
                <w:lang w:val="uk-UA"/>
              </w:rPr>
              <w:t>субєктів</w:t>
            </w:r>
            <w:proofErr w:type="spellEnd"/>
            <w:r w:rsidRPr="00834CC2">
              <w:rPr>
                <w:rFonts w:ascii="Times New Roman" w:hAnsi="Times New Roman" w:cs="Times New Roman"/>
                <w:sz w:val="24"/>
                <w:szCs w:val="24"/>
                <w:lang w:val="uk-UA"/>
              </w:rPr>
              <w:t xml:space="preserve"> господарювання відсутні</w:t>
            </w:r>
          </w:p>
        </w:tc>
        <w:tc>
          <w:tcPr>
            <w:tcW w:w="2443" w:type="dxa"/>
          </w:tcPr>
          <w:p w:rsidR="00180BCB" w:rsidRPr="00834CC2" w:rsidRDefault="00180BCB" w:rsidP="00180BCB">
            <w:pPr>
              <w:spacing w:after="100" w:afterAutospacing="1"/>
              <w:rPr>
                <w:rFonts w:ascii="Times New Roman" w:hAnsi="Times New Roman" w:cs="Times New Roman"/>
                <w:sz w:val="26"/>
                <w:szCs w:val="26"/>
                <w:lang w:val="uk-UA"/>
              </w:rPr>
            </w:pPr>
          </w:p>
        </w:tc>
        <w:tc>
          <w:tcPr>
            <w:tcW w:w="2443" w:type="dxa"/>
          </w:tcPr>
          <w:p w:rsidR="00180BCB" w:rsidRPr="00834CC2" w:rsidRDefault="00180BCB" w:rsidP="00180BCB">
            <w:pPr>
              <w:spacing w:after="100" w:afterAutospacing="1"/>
              <w:rPr>
                <w:rFonts w:ascii="Times New Roman" w:hAnsi="Times New Roman" w:cs="Times New Roman"/>
                <w:lang w:val="uk-UA"/>
              </w:rPr>
            </w:pPr>
            <w:r w:rsidRPr="00834CC2">
              <w:rPr>
                <w:rFonts w:ascii="Times New Roman" w:hAnsi="Times New Roman" w:cs="Times New Roman"/>
                <w:lang w:val="uk-UA"/>
              </w:rPr>
              <w:t>Не забезпечить досягнення мети</w:t>
            </w:r>
          </w:p>
        </w:tc>
      </w:tr>
      <w:tr w:rsidR="00834CC2" w:rsidRPr="00834CC2" w:rsidTr="0013732A">
        <w:trPr>
          <w:trHeight w:val="1776"/>
        </w:trPr>
        <w:tc>
          <w:tcPr>
            <w:tcW w:w="2122" w:type="dxa"/>
            <w:vMerge w:val="restart"/>
            <w:vAlign w:val="center"/>
          </w:tcPr>
          <w:p w:rsidR="0013732A" w:rsidRPr="00834CC2" w:rsidRDefault="0013732A" w:rsidP="0013732A">
            <w:pPr>
              <w:spacing w:after="100" w:afterAutospacing="1"/>
              <w:jc w:val="center"/>
              <w:rPr>
                <w:rFonts w:ascii="Times New Roman" w:hAnsi="Times New Roman" w:cs="Times New Roman"/>
                <w:b/>
                <w:u w:val="single"/>
                <w:lang w:val="uk-UA"/>
              </w:rPr>
            </w:pPr>
            <w:r w:rsidRPr="00834CC2">
              <w:rPr>
                <w:rFonts w:ascii="Times New Roman" w:hAnsi="Times New Roman" w:cs="Times New Roman"/>
                <w:b/>
                <w:u w:val="single"/>
                <w:lang w:val="uk-UA"/>
              </w:rPr>
              <w:t>Альтернатива № 2</w:t>
            </w:r>
          </w:p>
        </w:tc>
        <w:tc>
          <w:tcPr>
            <w:tcW w:w="2763" w:type="dxa"/>
          </w:tcPr>
          <w:p w:rsidR="0013732A" w:rsidRPr="00834CC2" w:rsidRDefault="0013732A" w:rsidP="00180BCB">
            <w:pPr>
              <w:spacing w:after="100" w:afterAutospacing="1"/>
              <w:rPr>
                <w:rFonts w:ascii="Times New Roman" w:hAnsi="Times New Roman" w:cs="Times New Roman"/>
                <w:sz w:val="24"/>
                <w:szCs w:val="24"/>
                <w:lang w:val="uk-UA"/>
              </w:rPr>
            </w:pPr>
            <w:r w:rsidRPr="00834CC2">
              <w:rPr>
                <w:rFonts w:ascii="Times New Roman" w:hAnsi="Times New Roman" w:cs="Times New Roman"/>
                <w:sz w:val="24"/>
                <w:szCs w:val="24"/>
                <w:lang w:val="uk-UA"/>
              </w:rPr>
              <w:t xml:space="preserve">При прийнятті проекту регуляторного акту для </w:t>
            </w:r>
            <w:r w:rsidRPr="00834CC2">
              <w:rPr>
                <w:rFonts w:ascii="Times New Roman" w:hAnsi="Times New Roman" w:cs="Times New Roman"/>
                <w:b/>
                <w:sz w:val="24"/>
                <w:szCs w:val="24"/>
                <w:lang w:val="uk-UA"/>
              </w:rPr>
              <w:t>органу місцевого самоврядування</w:t>
            </w:r>
            <w:r w:rsidRPr="00834CC2">
              <w:rPr>
                <w:rFonts w:ascii="Times New Roman" w:hAnsi="Times New Roman" w:cs="Times New Roman"/>
                <w:sz w:val="24"/>
                <w:szCs w:val="24"/>
                <w:lang w:val="uk-UA"/>
              </w:rPr>
              <w:t xml:space="preserve"> вигода полягає в упорядкуванні відносин між суб’єктами у сфері благоустрою</w:t>
            </w:r>
          </w:p>
        </w:tc>
        <w:tc>
          <w:tcPr>
            <w:tcW w:w="2443" w:type="dxa"/>
          </w:tcPr>
          <w:p w:rsidR="0013732A" w:rsidRPr="00834CC2" w:rsidRDefault="0013732A" w:rsidP="00180BCB">
            <w:pPr>
              <w:spacing w:after="100" w:afterAutospacing="1"/>
              <w:rPr>
                <w:rFonts w:ascii="Times New Roman" w:hAnsi="Times New Roman" w:cs="Times New Roman"/>
                <w:sz w:val="24"/>
                <w:szCs w:val="24"/>
                <w:lang w:val="uk-UA"/>
              </w:rPr>
            </w:pPr>
            <w:r w:rsidRPr="00834CC2">
              <w:rPr>
                <w:rFonts w:ascii="Times New Roman" w:hAnsi="Times New Roman" w:cs="Times New Roman"/>
                <w:sz w:val="24"/>
                <w:szCs w:val="24"/>
                <w:lang w:val="uk-UA"/>
              </w:rPr>
              <w:t>Витрати відсутні</w:t>
            </w:r>
          </w:p>
        </w:tc>
        <w:tc>
          <w:tcPr>
            <w:tcW w:w="2443" w:type="dxa"/>
          </w:tcPr>
          <w:p w:rsidR="0013732A" w:rsidRPr="00834CC2" w:rsidRDefault="0013732A" w:rsidP="00180BCB">
            <w:pPr>
              <w:spacing w:after="100" w:afterAutospacing="1"/>
              <w:rPr>
                <w:rFonts w:ascii="Times New Roman" w:hAnsi="Times New Roman" w:cs="Times New Roman"/>
                <w:sz w:val="24"/>
                <w:szCs w:val="24"/>
                <w:lang w:val="uk-UA"/>
              </w:rPr>
            </w:pPr>
            <w:r w:rsidRPr="00834CC2">
              <w:rPr>
                <w:rFonts w:ascii="Times New Roman" w:hAnsi="Times New Roman" w:cs="Times New Roman"/>
                <w:sz w:val="24"/>
                <w:szCs w:val="24"/>
                <w:lang w:val="uk-UA"/>
              </w:rPr>
              <w:t>Проблема вирішена</w:t>
            </w:r>
          </w:p>
        </w:tc>
      </w:tr>
      <w:tr w:rsidR="00834CC2" w:rsidRPr="00834CC2" w:rsidTr="0013732A">
        <w:trPr>
          <w:trHeight w:val="348"/>
        </w:trPr>
        <w:tc>
          <w:tcPr>
            <w:tcW w:w="2122" w:type="dxa"/>
            <w:vMerge/>
          </w:tcPr>
          <w:p w:rsidR="0013732A" w:rsidRPr="00834CC2" w:rsidRDefault="0013732A" w:rsidP="00180BCB">
            <w:pPr>
              <w:spacing w:after="100" w:afterAutospacing="1"/>
              <w:rPr>
                <w:rFonts w:ascii="Times New Roman" w:hAnsi="Times New Roman" w:cs="Times New Roman"/>
                <w:lang w:val="uk-UA"/>
              </w:rPr>
            </w:pPr>
          </w:p>
        </w:tc>
        <w:tc>
          <w:tcPr>
            <w:tcW w:w="2763" w:type="dxa"/>
          </w:tcPr>
          <w:p w:rsidR="0013732A" w:rsidRPr="00834CC2" w:rsidRDefault="0013732A" w:rsidP="00180BCB">
            <w:pPr>
              <w:spacing w:after="100" w:afterAutospacing="1"/>
              <w:rPr>
                <w:rFonts w:ascii="Times New Roman" w:hAnsi="Times New Roman" w:cs="Times New Roman"/>
                <w:sz w:val="24"/>
                <w:szCs w:val="24"/>
                <w:lang w:val="uk-UA"/>
              </w:rPr>
            </w:pPr>
            <w:r w:rsidRPr="00834CC2">
              <w:rPr>
                <w:rFonts w:ascii="Times New Roman" w:hAnsi="Times New Roman" w:cs="Times New Roman"/>
                <w:b/>
                <w:sz w:val="24"/>
                <w:szCs w:val="24"/>
                <w:lang w:val="uk-UA"/>
              </w:rPr>
              <w:t>Громадяни</w:t>
            </w:r>
            <w:r w:rsidRPr="00834CC2">
              <w:rPr>
                <w:rFonts w:ascii="Times New Roman" w:hAnsi="Times New Roman" w:cs="Times New Roman"/>
                <w:sz w:val="24"/>
                <w:szCs w:val="24"/>
                <w:lang w:val="uk-UA"/>
              </w:rPr>
              <w:t xml:space="preserve"> отримають покращення санітарного стану громади, відкритість та доступність для громадян про благоустрій населених пунктів громади, покращення зовнішнього благоустрою громади, естетичного вигляду об’єктів благоустрою (вулиць, скверів, парків, площ, зупинок громадського транспорту тощо)</w:t>
            </w:r>
          </w:p>
        </w:tc>
        <w:tc>
          <w:tcPr>
            <w:tcW w:w="2443" w:type="dxa"/>
          </w:tcPr>
          <w:p w:rsidR="0013732A" w:rsidRPr="00834CC2" w:rsidRDefault="000668D5" w:rsidP="00180BCB">
            <w:pPr>
              <w:spacing w:after="100" w:afterAutospacing="1"/>
              <w:rPr>
                <w:rFonts w:ascii="Times New Roman" w:hAnsi="Times New Roman" w:cs="Times New Roman"/>
                <w:sz w:val="24"/>
                <w:szCs w:val="24"/>
                <w:lang w:val="uk-UA"/>
              </w:rPr>
            </w:pPr>
            <w:r w:rsidRPr="00834CC2">
              <w:rPr>
                <w:rFonts w:ascii="Times New Roman" w:hAnsi="Times New Roman" w:cs="Times New Roman"/>
                <w:sz w:val="24"/>
                <w:szCs w:val="24"/>
                <w:lang w:val="uk-UA"/>
              </w:rPr>
              <w:t>Витрати відсутні</w:t>
            </w:r>
          </w:p>
        </w:tc>
        <w:tc>
          <w:tcPr>
            <w:tcW w:w="2443" w:type="dxa"/>
          </w:tcPr>
          <w:p w:rsidR="0013732A" w:rsidRPr="00834CC2" w:rsidRDefault="000668D5" w:rsidP="00180BCB">
            <w:pPr>
              <w:spacing w:after="100" w:afterAutospacing="1"/>
              <w:rPr>
                <w:rFonts w:ascii="Times New Roman" w:hAnsi="Times New Roman" w:cs="Times New Roman"/>
                <w:sz w:val="24"/>
                <w:szCs w:val="24"/>
                <w:lang w:val="uk-UA"/>
              </w:rPr>
            </w:pPr>
            <w:r w:rsidRPr="00834CC2">
              <w:rPr>
                <w:rFonts w:ascii="Times New Roman" w:hAnsi="Times New Roman" w:cs="Times New Roman"/>
                <w:sz w:val="24"/>
                <w:szCs w:val="24"/>
                <w:lang w:val="uk-UA"/>
              </w:rPr>
              <w:t>Проблема вирішена</w:t>
            </w:r>
          </w:p>
        </w:tc>
      </w:tr>
      <w:tr w:rsidR="0013732A" w:rsidRPr="00834CC2" w:rsidTr="0013732A">
        <w:trPr>
          <w:trHeight w:val="264"/>
        </w:trPr>
        <w:tc>
          <w:tcPr>
            <w:tcW w:w="2122" w:type="dxa"/>
            <w:vMerge/>
          </w:tcPr>
          <w:p w:rsidR="0013732A" w:rsidRPr="00834CC2" w:rsidRDefault="0013732A" w:rsidP="00180BCB">
            <w:pPr>
              <w:spacing w:after="100" w:afterAutospacing="1"/>
              <w:rPr>
                <w:rFonts w:ascii="Times New Roman" w:hAnsi="Times New Roman" w:cs="Times New Roman"/>
                <w:lang w:val="uk-UA"/>
              </w:rPr>
            </w:pPr>
          </w:p>
        </w:tc>
        <w:tc>
          <w:tcPr>
            <w:tcW w:w="2763" w:type="dxa"/>
          </w:tcPr>
          <w:p w:rsidR="0013732A" w:rsidRPr="00834CC2" w:rsidRDefault="0013732A" w:rsidP="00180BCB">
            <w:pPr>
              <w:spacing w:after="100" w:afterAutospacing="1"/>
              <w:rPr>
                <w:rFonts w:ascii="Times New Roman" w:hAnsi="Times New Roman" w:cs="Times New Roman"/>
                <w:sz w:val="24"/>
                <w:szCs w:val="24"/>
                <w:lang w:val="uk-UA"/>
              </w:rPr>
            </w:pPr>
            <w:r w:rsidRPr="00834CC2">
              <w:rPr>
                <w:rFonts w:ascii="Times New Roman" w:hAnsi="Times New Roman" w:cs="Times New Roman"/>
                <w:b/>
                <w:sz w:val="24"/>
                <w:szCs w:val="24"/>
                <w:lang w:val="uk-UA"/>
              </w:rPr>
              <w:t>Суб’єкти господарювання</w:t>
            </w:r>
            <w:r w:rsidRPr="00834CC2">
              <w:rPr>
                <w:rFonts w:ascii="Times New Roman" w:hAnsi="Times New Roman" w:cs="Times New Roman"/>
                <w:sz w:val="24"/>
                <w:szCs w:val="24"/>
                <w:lang w:val="uk-UA"/>
              </w:rPr>
              <w:t xml:space="preserve"> отримають документ, що регламентує основні вимоги щодо організації виконання робіт з благоустрою громади, гарантовані та рівні можливості</w:t>
            </w:r>
          </w:p>
        </w:tc>
        <w:tc>
          <w:tcPr>
            <w:tcW w:w="2443" w:type="dxa"/>
          </w:tcPr>
          <w:p w:rsidR="0013732A" w:rsidRPr="00834CC2" w:rsidRDefault="000668D5" w:rsidP="00180BCB">
            <w:pPr>
              <w:spacing w:after="100" w:afterAutospacing="1"/>
              <w:rPr>
                <w:rFonts w:ascii="Times New Roman" w:hAnsi="Times New Roman" w:cs="Times New Roman"/>
                <w:sz w:val="24"/>
                <w:szCs w:val="24"/>
                <w:lang w:val="uk-UA"/>
              </w:rPr>
            </w:pPr>
            <w:r w:rsidRPr="00834CC2">
              <w:rPr>
                <w:rFonts w:ascii="Times New Roman" w:hAnsi="Times New Roman" w:cs="Times New Roman"/>
                <w:sz w:val="24"/>
                <w:szCs w:val="24"/>
                <w:lang w:val="uk-UA"/>
              </w:rPr>
              <w:t>Витрати на утримання власних або орендованих земельних ділянок, прилеглих до них територій, зелених насаджень та інших об’єктів благоустрою</w:t>
            </w:r>
          </w:p>
        </w:tc>
        <w:tc>
          <w:tcPr>
            <w:tcW w:w="2443" w:type="dxa"/>
          </w:tcPr>
          <w:p w:rsidR="0013732A" w:rsidRPr="00834CC2" w:rsidRDefault="000668D5" w:rsidP="00180BCB">
            <w:pPr>
              <w:spacing w:after="100" w:afterAutospacing="1"/>
              <w:rPr>
                <w:rFonts w:ascii="Times New Roman" w:hAnsi="Times New Roman" w:cs="Times New Roman"/>
                <w:sz w:val="24"/>
                <w:szCs w:val="24"/>
                <w:lang w:val="uk-UA"/>
              </w:rPr>
            </w:pPr>
            <w:r w:rsidRPr="00834CC2">
              <w:rPr>
                <w:rFonts w:ascii="Times New Roman" w:hAnsi="Times New Roman" w:cs="Times New Roman"/>
                <w:sz w:val="24"/>
                <w:szCs w:val="24"/>
                <w:lang w:val="uk-UA"/>
              </w:rPr>
              <w:t>Проблема вирішена</w:t>
            </w:r>
          </w:p>
        </w:tc>
      </w:tr>
    </w:tbl>
    <w:p w:rsidR="00F30022" w:rsidRPr="00834CC2" w:rsidRDefault="00F30022" w:rsidP="00113423">
      <w:pPr>
        <w:shd w:val="clear" w:color="auto" w:fill="FFFFFF"/>
        <w:spacing w:after="100" w:afterAutospacing="1" w:line="240" w:lineRule="auto"/>
        <w:rPr>
          <w:rFonts w:ascii="Times New Roman" w:hAnsi="Times New Roman" w:cs="Times New Roman"/>
          <w:sz w:val="26"/>
          <w:szCs w:val="26"/>
          <w:lang w:val="uk-UA"/>
        </w:rPr>
      </w:pPr>
    </w:p>
    <w:tbl>
      <w:tblPr>
        <w:tblStyle w:val="a4"/>
        <w:tblW w:w="0" w:type="auto"/>
        <w:tblLook w:val="04A0" w:firstRow="1" w:lastRow="0" w:firstColumn="1" w:lastColumn="0" w:noHBand="0" w:noVBand="1"/>
      </w:tblPr>
      <w:tblGrid>
        <w:gridCol w:w="2689"/>
        <w:gridCol w:w="3825"/>
        <w:gridCol w:w="3257"/>
      </w:tblGrid>
      <w:tr w:rsidR="00834CC2" w:rsidRPr="00834CC2" w:rsidTr="0019049B">
        <w:tc>
          <w:tcPr>
            <w:tcW w:w="2689" w:type="dxa"/>
          </w:tcPr>
          <w:p w:rsidR="000668D5" w:rsidRPr="00834CC2" w:rsidRDefault="0019049B" w:rsidP="00113423">
            <w:pPr>
              <w:spacing w:after="100" w:afterAutospacing="1"/>
              <w:rPr>
                <w:rFonts w:ascii="Times New Roman" w:hAnsi="Times New Roman" w:cs="Times New Roman"/>
                <w:b/>
                <w:sz w:val="24"/>
                <w:szCs w:val="24"/>
                <w:lang w:val="uk-UA"/>
              </w:rPr>
            </w:pPr>
            <w:r w:rsidRPr="00834CC2">
              <w:rPr>
                <w:rFonts w:ascii="Times New Roman" w:hAnsi="Times New Roman" w:cs="Times New Roman"/>
                <w:b/>
                <w:sz w:val="24"/>
                <w:szCs w:val="24"/>
                <w:lang w:val="uk-UA"/>
              </w:rPr>
              <w:t>Рейтинг</w:t>
            </w:r>
          </w:p>
        </w:tc>
        <w:tc>
          <w:tcPr>
            <w:tcW w:w="3825" w:type="dxa"/>
          </w:tcPr>
          <w:p w:rsidR="000668D5" w:rsidRPr="00834CC2" w:rsidRDefault="0019049B" w:rsidP="00113423">
            <w:pPr>
              <w:spacing w:after="100" w:afterAutospacing="1"/>
              <w:rPr>
                <w:rFonts w:ascii="Times New Roman" w:hAnsi="Times New Roman" w:cs="Times New Roman"/>
                <w:b/>
                <w:sz w:val="24"/>
                <w:szCs w:val="24"/>
                <w:lang w:val="uk-UA"/>
              </w:rPr>
            </w:pPr>
            <w:r w:rsidRPr="00834CC2">
              <w:rPr>
                <w:rFonts w:ascii="Times New Roman" w:hAnsi="Times New Roman" w:cs="Times New Roman"/>
                <w:b/>
                <w:sz w:val="24"/>
                <w:szCs w:val="24"/>
                <w:lang w:val="uk-UA"/>
              </w:rPr>
              <w:t>Аргументи щодо переваги обраної альтернативи/причини відмови від альтернативи</w:t>
            </w:r>
          </w:p>
        </w:tc>
        <w:tc>
          <w:tcPr>
            <w:tcW w:w="3257" w:type="dxa"/>
          </w:tcPr>
          <w:p w:rsidR="000668D5" w:rsidRPr="00834CC2" w:rsidRDefault="0019049B" w:rsidP="00113423">
            <w:pPr>
              <w:spacing w:after="100" w:afterAutospacing="1"/>
              <w:rPr>
                <w:rFonts w:ascii="Times New Roman" w:hAnsi="Times New Roman" w:cs="Times New Roman"/>
                <w:b/>
                <w:sz w:val="24"/>
                <w:szCs w:val="24"/>
                <w:lang w:val="uk-UA"/>
              </w:rPr>
            </w:pPr>
            <w:r w:rsidRPr="00834CC2">
              <w:rPr>
                <w:rFonts w:ascii="Times New Roman" w:hAnsi="Times New Roman" w:cs="Times New Roman"/>
                <w:b/>
                <w:sz w:val="24"/>
                <w:szCs w:val="24"/>
                <w:lang w:val="uk-UA"/>
              </w:rPr>
              <w:t>Оцінка ризиків зовнішніх чинників на дію запропонованого регуляторного акту</w:t>
            </w:r>
          </w:p>
        </w:tc>
      </w:tr>
      <w:tr w:rsidR="00834CC2" w:rsidRPr="00834CC2" w:rsidTr="0019049B">
        <w:trPr>
          <w:trHeight w:val="431"/>
        </w:trPr>
        <w:tc>
          <w:tcPr>
            <w:tcW w:w="2689" w:type="dxa"/>
          </w:tcPr>
          <w:p w:rsidR="000668D5" w:rsidRPr="00834CC2" w:rsidRDefault="0019049B" w:rsidP="00113423">
            <w:pPr>
              <w:spacing w:after="100" w:afterAutospacing="1"/>
              <w:rPr>
                <w:rFonts w:ascii="Times New Roman" w:hAnsi="Times New Roman" w:cs="Times New Roman"/>
                <w:b/>
                <w:u w:val="single"/>
                <w:lang w:val="uk-UA"/>
              </w:rPr>
            </w:pPr>
            <w:r w:rsidRPr="00834CC2">
              <w:rPr>
                <w:rFonts w:ascii="Times New Roman" w:hAnsi="Times New Roman" w:cs="Times New Roman"/>
                <w:b/>
                <w:u w:val="single"/>
                <w:lang w:val="uk-UA"/>
              </w:rPr>
              <w:t>Альтернатива № 1</w:t>
            </w:r>
          </w:p>
        </w:tc>
        <w:tc>
          <w:tcPr>
            <w:tcW w:w="3825" w:type="dxa"/>
          </w:tcPr>
          <w:p w:rsidR="000668D5" w:rsidRPr="00834CC2" w:rsidRDefault="0019049B" w:rsidP="00113423">
            <w:pPr>
              <w:spacing w:after="100" w:afterAutospacing="1"/>
              <w:rPr>
                <w:rFonts w:ascii="Times New Roman" w:hAnsi="Times New Roman" w:cs="Times New Roman"/>
                <w:lang w:val="uk-UA"/>
              </w:rPr>
            </w:pPr>
            <w:r w:rsidRPr="00834CC2">
              <w:rPr>
                <w:rFonts w:ascii="Times New Roman" w:hAnsi="Times New Roman" w:cs="Times New Roman"/>
                <w:lang w:val="uk-UA"/>
              </w:rPr>
              <w:t xml:space="preserve">Не </w:t>
            </w:r>
            <w:r w:rsidR="005C4CB6" w:rsidRPr="00834CC2">
              <w:rPr>
                <w:rFonts w:ascii="Times New Roman" w:hAnsi="Times New Roman" w:cs="Times New Roman"/>
                <w:lang w:val="uk-UA"/>
              </w:rPr>
              <w:t>забезпечується досягнення мети</w:t>
            </w:r>
          </w:p>
        </w:tc>
        <w:tc>
          <w:tcPr>
            <w:tcW w:w="3257" w:type="dxa"/>
          </w:tcPr>
          <w:p w:rsidR="000668D5" w:rsidRPr="00834CC2" w:rsidRDefault="00A128E9" w:rsidP="00113423">
            <w:pPr>
              <w:spacing w:after="100" w:afterAutospacing="1"/>
              <w:rPr>
                <w:rFonts w:ascii="Times New Roman" w:hAnsi="Times New Roman" w:cs="Times New Roman"/>
                <w:lang w:val="uk-UA"/>
              </w:rPr>
            </w:pPr>
            <w:r w:rsidRPr="00834CC2">
              <w:rPr>
                <w:rFonts w:ascii="Times New Roman" w:hAnsi="Times New Roman" w:cs="Times New Roman"/>
                <w:lang w:val="uk-UA"/>
              </w:rPr>
              <w:t>Зовнішні чинники на дію регуляторного акту у разі залишення ситуації без змін відсутні</w:t>
            </w:r>
          </w:p>
        </w:tc>
      </w:tr>
      <w:tr w:rsidR="0019049B" w:rsidRPr="00834CC2" w:rsidTr="0019049B">
        <w:trPr>
          <w:trHeight w:val="660"/>
        </w:trPr>
        <w:tc>
          <w:tcPr>
            <w:tcW w:w="2689" w:type="dxa"/>
          </w:tcPr>
          <w:p w:rsidR="0019049B" w:rsidRPr="00834CC2" w:rsidRDefault="0019049B" w:rsidP="00113423">
            <w:pPr>
              <w:spacing w:after="100" w:afterAutospacing="1"/>
              <w:rPr>
                <w:rFonts w:ascii="Times New Roman" w:hAnsi="Times New Roman" w:cs="Times New Roman"/>
                <w:b/>
                <w:u w:val="single"/>
                <w:lang w:val="uk-UA"/>
              </w:rPr>
            </w:pPr>
            <w:r w:rsidRPr="00834CC2">
              <w:rPr>
                <w:rFonts w:ascii="Times New Roman" w:hAnsi="Times New Roman" w:cs="Times New Roman"/>
                <w:b/>
                <w:u w:val="single"/>
                <w:lang w:val="uk-UA"/>
              </w:rPr>
              <w:t>Альтернатива № 2</w:t>
            </w:r>
          </w:p>
        </w:tc>
        <w:tc>
          <w:tcPr>
            <w:tcW w:w="3825" w:type="dxa"/>
          </w:tcPr>
          <w:p w:rsidR="0019049B" w:rsidRPr="00834CC2" w:rsidRDefault="00A128E9" w:rsidP="00113423">
            <w:pPr>
              <w:spacing w:after="100" w:afterAutospacing="1"/>
              <w:rPr>
                <w:rFonts w:ascii="Times New Roman" w:hAnsi="Times New Roman" w:cs="Times New Roman"/>
                <w:lang w:val="uk-UA"/>
              </w:rPr>
            </w:pPr>
            <w:r w:rsidRPr="00834CC2">
              <w:rPr>
                <w:rFonts w:ascii="Times New Roman" w:hAnsi="Times New Roman" w:cs="Times New Roman"/>
                <w:lang w:val="uk-UA"/>
              </w:rPr>
              <w:t xml:space="preserve">Встановлена мета, а саме: забезпечення діяльності підприємств </w:t>
            </w:r>
            <w:r w:rsidRPr="00834CC2">
              <w:rPr>
                <w:rFonts w:ascii="Times New Roman" w:hAnsi="Times New Roman" w:cs="Times New Roman"/>
                <w:lang w:val="uk-UA"/>
              </w:rPr>
              <w:lastRenderedPageBreak/>
              <w:t>різних форм власності та проживання мешканців в умовах, які відповідають належним санітарно-гігієнічним умовам</w:t>
            </w:r>
          </w:p>
        </w:tc>
        <w:tc>
          <w:tcPr>
            <w:tcW w:w="3257" w:type="dxa"/>
          </w:tcPr>
          <w:p w:rsidR="0019049B" w:rsidRPr="00834CC2" w:rsidRDefault="00BB277F" w:rsidP="00113423">
            <w:pPr>
              <w:spacing w:after="100" w:afterAutospacing="1"/>
              <w:rPr>
                <w:rFonts w:ascii="Times New Roman" w:hAnsi="Times New Roman" w:cs="Times New Roman"/>
                <w:lang w:val="uk-UA"/>
              </w:rPr>
            </w:pPr>
            <w:r w:rsidRPr="00834CC2">
              <w:rPr>
                <w:rFonts w:ascii="Times New Roman" w:hAnsi="Times New Roman" w:cs="Times New Roman"/>
                <w:lang w:val="uk-UA"/>
              </w:rPr>
              <w:lastRenderedPageBreak/>
              <w:t xml:space="preserve">До зовнішніх чинників, що можуть вплинути на дію </w:t>
            </w:r>
            <w:r w:rsidRPr="00834CC2">
              <w:rPr>
                <w:rFonts w:ascii="Times New Roman" w:hAnsi="Times New Roman" w:cs="Times New Roman"/>
                <w:lang w:val="uk-UA"/>
              </w:rPr>
              <w:lastRenderedPageBreak/>
              <w:t xml:space="preserve">регуляторного акту, належать зміна законодавства та </w:t>
            </w:r>
            <w:proofErr w:type="spellStart"/>
            <w:r w:rsidRPr="00834CC2">
              <w:rPr>
                <w:rFonts w:ascii="Times New Roman" w:hAnsi="Times New Roman" w:cs="Times New Roman"/>
                <w:lang w:val="uk-UA"/>
              </w:rPr>
              <w:t>форсмажорні</w:t>
            </w:r>
            <w:proofErr w:type="spellEnd"/>
            <w:r w:rsidRPr="00834CC2">
              <w:rPr>
                <w:rFonts w:ascii="Times New Roman" w:hAnsi="Times New Roman" w:cs="Times New Roman"/>
                <w:lang w:val="uk-UA"/>
              </w:rPr>
              <w:t xml:space="preserve"> природні явища</w:t>
            </w:r>
          </w:p>
        </w:tc>
      </w:tr>
    </w:tbl>
    <w:p w:rsidR="000668D5" w:rsidRPr="00834CC2" w:rsidRDefault="000668D5" w:rsidP="00113423">
      <w:pPr>
        <w:shd w:val="clear" w:color="auto" w:fill="FFFFFF"/>
        <w:spacing w:after="100" w:afterAutospacing="1" w:line="240" w:lineRule="auto"/>
        <w:rPr>
          <w:rFonts w:ascii="Times New Roman" w:hAnsi="Times New Roman" w:cs="Times New Roman"/>
          <w:sz w:val="16"/>
          <w:szCs w:val="16"/>
          <w:lang w:val="uk-UA"/>
        </w:rPr>
      </w:pPr>
    </w:p>
    <w:p w:rsidR="00BB277F" w:rsidRPr="00834CC2" w:rsidRDefault="00BB277F" w:rsidP="009D7861">
      <w:pPr>
        <w:shd w:val="clear" w:color="auto" w:fill="FFFFFF"/>
        <w:spacing w:after="0" w:line="240" w:lineRule="auto"/>
        <w:jc w:val="center"/>
        <w:rPr>
          <w:rFonts w:ascii="Times New Roman" w:hAnsi="Times New Roman" w:cs="Times New Roman"/>
          <w:b/>
          <w:sz w:val="26"/>
          <w:szCs w:val="26"/>
          <w:lang w:val="uk-UA"/>
        </w:rPr>
      </w:pPr>
      <w:r w:rsidRPr="00834CC2">
        <w:rPr>
          <w:rFonts w:ascii="Times New Roman" w:hAnsi="Times New Roman" w:cs="Times New Roman"/>
          <w:b/>
          <w:sz w:val="26"/>
          <w:szCs w:val="26"/>
          <w:lang w:val="uk-UA"/>
        </w:rPr>
        <w:t>V. Механізми та заходи, які забезпечують розв’язання визначеної проблеми</w:t>
      </w:r>
    </w:p>
    <w:p w:rsidR="00BB277F" w:rsidRPr="00834CC2" w:rsidRDefault="00BB277F" w:rsidP="00F8359A">
      <w:pPr>
        <w:shd w:val="clear" w:color="auto" w:fill="FFFFFF"/>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Для </w:t>
      </w:r>
      <w:r w:rsidR="009D3679" w:rsidRPr="00834CC2">
        <w:rPr>
          <w:rFonts w:ascii="Times New Roman" w:hAnsi="Times New Roman" w:cs="Times New Roman"/>
          <w:sz w:val="26"/>
          <w:szCs w:val="26"/>
          <w:lang w:val="uk-UA"/>
        </w:rPr>
        <w:t xml:space="preserve">розв’язання </w:t>
      </w:r>
      <w:r w:rsidR="00F8359A" w:rsidRPr="00834CC2">
        <w:rPr>
          <w:rFonts w:ascii="Times New Roman" w:hAnsi="Times New Roman" w:cs="Times New Roman"/>
          <w:sz w:val="26"/>
          <w:szCs w:val="26"/>
          <w:lang w:val="uk-UA"/>
        </w:rPr>
        <w:t xml:space="preserve">проблеми   </w:t>
      </w:r>
      <w:r w:rsidR="009D3679" w:rsidRPr="00834CC2">
        <w:rPr>
          <w:rFonts w:ascii="Times New Roman" w:hAnsi="Times New Roman" w:cs="Times New Roman"/>
          <w:sz w:val="26"/>
          <w:szCs w:val="26"/>
          <w:lang w:val="uk-UA"/>
        </w:rPr>
        <w:t>виз</w:t>
      </w:r>
      <w:r w:rsidR="00F8359A" w:rsidRPr="00834CC2">
        <w:rPr>
          <w:rFonts w:ascii="Times New Roman" w:hAnsi="Times New Roman" w:cs="Times New Roman"/>
          <w:sz w:val="26"/>
          <w:szCs w:val="26"/>
          <w:lang w:val="uk-UA"/>
        </w:rPr>
        <w:t>н</w:t>
      </w:r>
      <w:r w:rsidR="009D3679" w:rsidRPr="00834CC2">
        <w:rPr>
          <w:rFonts w:ascii="Times New Roman" w:hAnsi="Times New Roman" w:cs="Times New Roman"/>
          <w:sz w:val="26"/>
          <w:szCs w:val="26"/>
          <w:lang w:val="uk-UA"/>
        </w:rPr>
        <w:t>аченої у розділі 1</w:t>
      </w:r>
      <w:r w:rsidRPr="00834CC2">
        <w:rPr>
          <w:rFonts w:ascii="Times New Roman" w:hAnsi="Times New Roman" w:cs="Times New Roman"/>
          <w:sz w:val="26"/>
          <w:szCs w:val="26"/>
          <w:lang w:val="uk-UA"/>
        </w:rPr>
        <w:t xml:space="preserve"> </w:t>
      </w:r>
      <w:r w:rsidR="00F8359A" w:rsidRPr="00834CC2">
        <w:rPr>
          <w:rFonts w:ascii="Times New Roman" w:hAnsi="Times New Roman" w:cs="Times New Roman"/>
          <w:sz w:val="26"/>
          <w:szCs w:val="26"/>
          <w:lang w:val="uk-UA"/>
        </w:rPr>
        <w:t xml:space="preserve">цього аналізу , пропонуємо прийняти рішення </w:t>
      </w:r>
      <w:proofErr w:type="spellStart"/>
      <w:r w:rsidR="00F8359A" w:rsidRPr="00834CC2">
        <w:rPr>
          <w:rFonts w:ascii="Times New Roman" w:hAnsi="Times New Roman" w:cs="Times New Roman"/>
          <w:sz w:val="26"/>
          <w:szCs w:val="26"/>
          <w:lang w:val="uk-UA"/>
        </w:rPr>
        <w:t>Студениківської</w:t>
      </w:r>
      <w:proofErr w:type="spellEnd"/>
      <w:r w:rsidR="00F8359A" w:rsidRPr="00834CC2">
        <w:rPr>
          <w:rFonts w:ascii="Times New Roman" w:hAnsi="Times New Roman" w:cs="Times New Roman"/>
          <w:sz w:val="26"/>
          <w:szCs w:val="26"/>
          <w:lang w:val="uk-UA"/>
        </w:rPr>
        <w:t xml:space="preserve"> сі</w:t>
      </w:r>
      <w:r w:rsidR="00834CC2" w:rsidRPr="00834CC2">
        <w:rPr>
          <w:rFonts w:ascii="Times New Roman" w:hAnsi="Times New Roman" w:cs="Times New Roman"/>
          <w:sz w:val="26"/>
          <w:szCs w:val="26"/>
          <w:lang w:val="uk-UA"/>
        </w:rPr>
        <w:t>льської ради «Про затвердження П</w:t>
      </w:r>
      <w:r w:rsidR="00F8359A" w:rsidRPr="00834CC2">
        <w:rPr>
          <w:rFonts w:ascii="Times New Roman" w:hAnsi="Times New Roman" w:cs="Times New Roman"/>
          <w:sz w:val="26"/>
          <w:szCs w:val="26"/>
          <w:lang w:val="uk-UA"/>
        </w:rPr>
        <w:t xml:space="preserve">равил благоустрою території </w:t>
      </w:r>
      <w:r w:rsidR="00834CC2" w:rsidRPr="00834CC2">
        <w:rPr>
          <w:rFonts w:ascii="Times New Roman" w:hAnsi="Times New Roman" w:cs="Times New Roman"/>
          <w:sz w:val="26"/>
          <w:szCs w:val="26"/>
          <w:lang w:val="uk-UA"/>
        </w:rPr>
        <w:t xml:space="preserve">населених пунктів </w:t>
      </w:r>
      <w:proofErr w:type="spellStart"/>
      <w:r w:rsidR="00F8359A" w:rsidRPr="00834CC2">
        <w:rPr>
          <w:rFonts w:ascii="Times New Roman" w:hAnsi="Times New Roman" w:cs="Times New Roman"/>
          <w:sz w:val="26"/>
          <w:szCs w:val="26"/>
          <w:lang w:val="uk-UA"/>
        </w:rPr>
        <w:t>Студениківської</w:t>
      </w:r>
      <w:proofErr w:type="spellEnd"/>
      <w:r w:rsidR="00F8359A" w:rsidRPr="00834CC2">
        <w:rPr>
          <w:rFonts w:ascii="Times New Roman" w:hAnsi="Times New Roman" w:cs="Times New Roman"/>
          <w:sz w:val="26"/>
          <w:szCs w:val="26"/>
          <w:lang w:val="uk-UA"/>
        </w:rPr>
        <w:t xml:space="preserve"> сільської територіальної громади».</w:t>
      </w:r>
    </w:p>
    <w:p w:rsidR="00F8359A" w:rsidRPr="00834CC2" w:rsidRDefault="00F8359A" w:rsidP="00F8359A">
      <w:pPr>
        <w:shd w:val="clear" w:color="auto" w:fill="FFFFFF"/>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Основною метою прийняття регуляторного акту є забезпечення більш ефективних умов покращення благоустрою </w:t>
      </w:r>
      <w:proofErr w:type="spellStart"/>
      <w:r w:rsidRPr="00834CC2">
        <w:rPr>
          <w:rFonts w:ascii="Times New Roman" w:hAnsi="Times New Roman" w:cs="Times New Roman"/>
          <w:sz w:val="26"/>
          <w:szCs w:val="26"/>
          <w:lang w:val="uk-UA"/>
        </w:rPr>
        <w:t>Студениківської</w:t>
      </w:r>
      <w:proofErr w:type="spellEnd"/>
      <w:r w:rsidRPr="00834CC2">
        <w:rPr>
          <w:rFonts w:ascii="Times New Roman" w:hAnsi="Times New Roman" w:cs="Times New Roman"/>
          <w:sz w:val="26"/>
          <w:szCs w:val="26"/>
          <w:lang w:val="uk-UA"/>
        </w:rPr>
        <w:t xml:space="preserve"> сільської територіальної громади.</w:t>
      </w:r>
    </w:p>
    <w:p w:rsidR="008F7411" w:rsidRPr="00834CC2" w:rsidRDefault="008F7411" w:rsidP="00F8359A">
      <w:pPr>
        <w:shd w:val="clear" w:color="auto" w:fill="FFFFFF"/>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З метою реалізації поставленої мети пропонується проведення таких заходів:</w:t>
      </w:r>
    </w:p>
    <w:p w:rsidR="008F7411" w:rsidRPr="00834CC2" w:rsidRDefault="009D7861" w:rsidP="009D7861">
      <w:pPr>
        <w:pStyle w:val="a3"/>
        <w:numPr>
          <w:ilvl w:val="0"/>
          <w:numId w:val="1"/>
        </w:numPr>
        <w:shd w:val="clear" w:color="auto" w:fill="FFFFFF"/>
        <w:spacing w:after="0" w:line="240" w:lineRule="auto"/>
        <w:ind w:left="0"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п</w:t>
      </w:r>
      <w:r w:rsidR="008F7411" w:rsidRPr="00834CC2">
        <w:rPr>
          <w:rFonts w:ascii="Times New Roman" w:hAnsi="Times New Roman" w:cs="Times New Roman"/>
          <w:sz w:val="26"/>
          <w:szCs w:val="26"/>
          <w:lang w:val="uk-UA"/>
        </w:rPr>
        <w:t xml:space="preserve">окращення </w:t>
      </w:r>
      <w:r w:rsidRPr="00834CC2">
        <w:rPr>
          <w:rFonts w:ascii="Times New Roman" w:hAnsi="Times New Roman" w:cs="Times New Roman"/>
          <w:sz w:val="26"/>
          <w:szCs w:val="26"/>
          <w:lang w:val="uk-UA"/>
        </w:rPr>
        <w:t>якості нормативної бази, що регулює забезпечення дотримання вимог правил благоустрою;</w:t>
      </w:r>
    </w:p>
    <w:p w:rsidR="009D7861" w:rsidRPr="00834CC2" w:rsidRDefault="009D7861" w:rsidP="009D7861">
      <w:pPr>
        <w:pStyle w:val="a3"/>
        <w:numPr>
          <w:ilvl w:val="0"/>
          <w:numId w:val="1"/>
        </w:numPr>
        <w:shd w:val="clear" w:color="auto" w:fill="FFFFFF"/>
        <w:spacing w:after="0" w:line="240" w:lineRule="auto"/>
        <w:ind w:left="0"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забезпечення виконання законодавчих актів вищої юридичної сили.</w:t>
      </w:r>
    </w:p>
    <w:p w:rsidR="009D7861" w:rsidRPr="00834CC2" w:rsidRDefault="009D7861" w:rsidP="009D7861">
      <w:pPr>
        <w:shd w:val="clear" w:color="auto" w:fill="FFFFFF"/>
        <w:spacing w:after="0" w:line="240" w:lineRule="auto"/>
        <w:jc w:val="both"/>
        <w:rPr>
          <w:rFonts w:ascii="Times New Roman" w:hAnsi="Times New Roman" w:cs="Times New Roman"/>
          <w:sz w:val="26"/>
          <w:szCs w:val="26"/>
          <w:lang w:val="uk-UA"/>
        </w:rPr>
      </w:pPr>
    </w:p>
    <w:p w:rsidR="009C0167" w:rsidRPr="00834CC2" w:rsidRDefault="009D7861" w:rsidP="009D7861">
      <w:pPr>
        <w:shd w:val="clear" w:color="auto" w:fill="FFFFFF"/>
        <w:spacing w:after="0" w:line="240" w:lineRule="auto"/>
        <w:jc w:val="both"/>
        <w:rPr>
          <w:rFonts w:ascii="Times New Roman" w:hAnsi="Times New Roman" w:cs="Times New Roman"/>
          <w:sz w:val="26"/>
          <w:szCs w:val="26"/>
          <w:lang w:val="uk-UA"/>
        </w:rPr>
      </w:pPr>
      <w:r w:rsidRPr="00834CC2">
        <w:rPr>
          <w:rFonts w:ascii="Times New Roman" w:hAnsi="Times New Roman" w:cs="Times New Roman"/>
          <w:b/>
          <w:sz w:val="26"/>
          <w:szCs w:val="26"/>
          <w:lang w:val="uk-UA"/>
        </w:rPr>
        <w:t>VI.</w:t>
      </w:r>
      <w:r w:rsidR="0025338C" w:rsidRPr="00834CC2">
        <w:rPr>
          <w:rFonts w:ascii="Times New Roman" w:hAnsi="Times New Roman" w:cs="Times New Roman"/>
          <w:b/>
          <w:sz w:val="21"/>
          <w:szCs w:val="21"/>
          <w:shd w:val="clear" w:color="auto" w:fill="FDFDFD"/>
          <w:lang w:val="uk-UA"/>
        </w:rPr>
        <w:t xml:space="preserve"> </w:t>
      </w:r>
      <w:r w:rsidR="0025338C" w:rsidRPr="00834CC2">
        <w:rPr>
          <w:rStyle w:val="a6"/>
          <w:rFonts w:ascii="Times New Roman" w:hAnsi="Times New Roman" w:cs="Times New Roman"/>
          <w:sz w:val="26"/>
          <w:szCs w:val="26"/>
          <w:shd w:val="clear" w:color="auto" w:fill="FDFDFD"/>
          <w:lang w:val="uk-UA"/>
        </w:rPr>
        <w:t>Оцінка виконання вимог регуляторного акту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r w:rsidRPr="00834CC2">
        <w:rPr>
          <w:rFonts w:ascii="Times New Roman" w:hAnsi="Times New Roman" w:cs="Times New Roman"/>
          <w:sz w:val="26"/>
          <w:szCs w:val="26"/>
          <w:lang w:val="uk-UA"/>
        </w:rPr>
        <w:t xml:space="preserve"> </w:t>
      </w:r>
    </w:p>
    <w:p w:rsidR="0025338C" w:rsidRPr="00834CC2" w:rsidRDefault="0025338C" w:rsidP="0025338C">
      <w:pPr>
        <w:shd w:val="clear" w:color="auto" w:fill="FFFFFF"/>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Для виконання вимог регуляторного акту додаткові витрати органів місцевого самоврядування не потрібні.</w:t>
      </w:r>
    </w:p>
    <w:p w:rsidR="0025338C" w:rsidRPr="00834CC2" w:rsidRDefault="0025338C" w:rsidP="0025338C">
      <w:pPr>
        <w:shd w:val="clear" w:color="auto" w:fill="FFFFFF"/>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Питома вага суб'єктів малого підприємництва у загальній кількості суб'єктів господарювання, на яких поширюється регулювання, складає 62,39 %.</w:t>
      </w:r>
      <w:r w:rsidRPr="00834CC2">
        <w:rPr>
          <w:rFonts w:ascii="Times New Roman" w:hAnsi="Times New Roman" w:cs="Times New Roman"/>
          <w:sz w:val="26"/>
          <w:szCs w:val="26"/>
          <w:lang w:val="uk-UA"/>
        </w:rPr>
        <w:br/>
        <w:t>Розрахунок витрат на запровадження державного регулювання для суб'єктів малого підприємництва (М-Тест) додається.</w:t>
      </w:r>
    </w:p>
    <w:p w:rsidR="009C0167" w:rsidRPr="00834CC2" w:rsidRDefault="009C0167" w:rsidP="009C0167">
      <w:pPr>
        <w:shd w:val="clear" w:color="auto" w:fill="FFFFFF"/>
        <w:spacing w:after="0" w:line="240" w:lineRule="auto"/>
        <w:jc w:val="both"/>
        <w:rPr>
          <w:rFonts w:ascii="Times New Roman" w:hAnsi="Times New Roman" w:cs="Times New Roman"/>
          <w:sz w:val="26"/>
          <w:szCs w:val="26"/>
          <w:lang w:val="uk-UA"/>
        </w:rPr>
      </w:pPr>
    </w:p>
    <w:p w:rsidR="009C0167" w:rsidRPr="00834CC2" w:rsidRDefault="009C0167" w:rsidP="009C0167">
      <w:pPr>
        <w:shd w:val="clear" w:color="auto" w:fill="FFFFFF"/>
        <w:spacing w:after="0" w:line="240" w:lineRule="auto"/>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 xml:space="preserve">VІІ. </w:t>
      </w:r>
      <w:proofErr w:type="spellStart"/>
      <w:r w:rsidRPr="00834CC2">
        <w:rPr>
          <w:rFonts w:ascii="Times New Roman" w:hAnsi="Times New Roman" w:cs="Times New Roman"/>
          <w:b/>
          <w:sz w:val="26"/>
          <w:szCs w:val="26"/>
          <w:lang w:val="uk-UA"/>
        </w:rPr>
        <w:t>Обгрунтування</w:t>
      </w:r>
      <w:proofErr w:type="spellEnd"/>
      <w:r w:rsidRPr="00834CC2">
        <w:rPr>
          <w:rFonts w:ascii="Times New Roman" w:hAnsi="Times New Roman" w:cs="Times New Roman"/>
          <w:b/>
          <w:sz w:val="26"/>
          <w:szCs w:val="26"/>
          <w:lang w:val="uk-UA"/>
        </w:rPr>
        <w:t xml:space="preserve"> запропонованого строку дії регуляторного акту</w:t>
      </w:r>
    </w:p>
    <w:p w:rsidR="009C0167" w:rsidRPr="00834CC2" w:rsidRDefault="009C0167" w:rsidP="009C0167">
      <w:pPr>
        <w:shd w:val="clear" w:color="auto" w:fill="FFFFFF"/>
        <w:spacing w:after="0" w:line="240" w:lineRule="auto"/>
        <w:ind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Строк дії пропонується не обмежувати в часі.</w:t>
      </w:r>
    </w:p>
    <w:p w:rsidR="009C0167" w:rsidRPr="00834CC2" w:rsidRDefault="009C0167" w:rsidP="009C0167">
      <w:pPr>
        <w:shd w:val="clear" w:color="auto" w:fill="FFFFFF"/>
        <w:spacing w:after="0" w:line="240" w:lineRule="auto"/>
        <w:jc w:val="both"/>
        <w:rPr>
          <w:rFonts w:ascii="Times New Roman" w:hAnsi="Times New Roman" w:cs="Times New Roman"/>
          <w:b/>
          <w:sz w:val="26"/>
          <w:szCs w:val="26"/>
          <w:lang w:val="uk-UA"/>
        </w:rPr>
      </w:pPr>
    </w:p>
    <w:p w:rsidR="009C0167" w:rsidRPr="00834CC2" w:rsidRDefault="009C0167" w:rsidP="009C0167">
      <w:pPr>
        <w:shd w:val="clear" w:color="auto" w:fill="FFFFFF"/>
        <w:spacing w:after="0" w:line="240" w:lineRule="auto"/>
        <w:jc w:val="both"/>
        <w:rPr>
          <w:rFonts w:ascii="Times New Roman" w:hAnsi="Times New Roman" w:cs="Times New Roman"/>
          <w:b/>
          <w:sz w:val="26"/>
          <w:szCs w:val="26"/>
          <w:lang w:val="uk-UA"/>
        </w:rPr>
      </w:pPr>
      <w:r w:rsidRPr="00834CC2">
        <w:rPr>
          <w:rFonts w:ascii="Times New Roman" w:hAnsi="Times New Roman" w:cs="Times New Roman"/>
          <w:b/>
          <w:sz w:val="26"/>
          <w:szCs w:val="26"/>
          <w:lang w:val="uk-UA"/>
        </w:rPr>
        <w:t>VIIІ. Визначення заходів за допомогою яких здійснюватиметься відстеження результативності дії регуляторних актів</w:t>
      </w:r>
    </w:p>
    <w:p w:rsidR="009C0167" w:rsidRPr="00834CC2" w:rsidRDefault="009C0167" w:rsidP="009C0167">
      <w:pPr>
        <w:pStyle w:val="a3"/>
        <w:numPr>
          <w:ilvl w:val="0"/>
          <w:numId w:val="10"/>
        </w:numPr>
        <w:shd w:val="clear" w:color="auto" w:fill="FFFFFF"/>
        <w:tabs>
          <w:tab w:val="left" w:pos="851"/>
        </w:tabs>
        <w:spacing w:after="0" w:line="240" w:lineRule="auto"/>
        <w:ind w:left="0"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Базове відстеження результативності проводиться через три місяці після прийняття регуляторного акту.</w:t>
      </w:r>
    </w:p>
    <w:p w:rsidR="009C0167" w:rsidRPr="00834CC2" w:rsidRDefault="009C0167" w:rsidP="009C0167">
      <w:pPr>
        <w:pStyle w:val="a3"/>
        <w:numPr>
          <w:ilvl w:val="0"/>
          <w:numId w:val="10"/>
        </w:numPr>
        <w:shd w:val="clear" w:color="auto" w:fill="FFFFFF"/>
        <w:tabs>
          <w:tab w:val="left" w:pos="851"/>
        </w:tabs>
        <w:spacing w:after="0" w:line="240" w:lineRule="auto"/>
        <w:ind w:left="0"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Повторне відстеження результативності проводиться через рік після прийняття регуляторного акту.</w:t>
      </w:r>
    </w:p>
    <w:p w:rsidR="00B52A5C" w:rsidRPr="00834CC2" w:rsidRDefault="00B52A5C" w:rsidP="009C0167">
      <w:pPr>
        <w:pStyle w:val="a3"/>
        <w:numPr>
          <w:ilvl w:val="0"/>
          <w:numId w:val="10"/>
        </w:numPr>
        <w:shd w:val="clear" w:color="auto" w:fill="FFFFFF"/>
        <w:tabs>
          <w:tab w:val="left" w:pos="851"/>
        </w:tabs>
        <w:spacing w:after="0" w:line="240" w:lineRule="auto"/>
        <w:ind w:left="0"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Відстеження результативності проводиться статистичними методами.</w:t>
      </w:r>
    </w:p>
    <w:p w:rsidR="00B52A5C" w:rsidRPr="00834CC2" w:rsidRDefault="009C0167" w:rsidP="009C0167">
      <w:pPr>
        <w:pStyle w:val="a3"/>
        <w:numPr>
          <w:ilvl w:val="0"/>
          <w:numId w:val="10"/>
        </w:numPr>
        <w:shd w:val="clear" w:color="auto" w:fill="FFFFFF"/>
        <w:tabs>
          <w:tab w:val="left" w:pos="851"/>
        </w:tabs>
        <w:spacing w:after="0" w:line="240" w:lineRule="auto"/>
        <w:ind w:left="0"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Види даних: </w:t>
      </w:r>
      <w:r w:rsidR="00B52A5C" w:rsidRPr="00834CC2">
        <w:rPr>
          <w:rFonts w:ascii="Times New Roman" w:hAnsi="Times New Roman" w:cs="Times New Roman"/>
          <w:sz w:val="26"/>
          <w:szCs w:val="26"/>
          <w:lang w:val="uk-UA"/>
        </w:rPr>
        <w:t>с</w:t>
      </w:r>
      <w:r w:rsidR="00834CC2">
        <w:rPr>
          <w:rFonts w:ascii="Times New Roman" w:hAnsi="Times New Roman" w:cs="Times New Roman"/>
          <w:sz w:val="26"/>
          <w:szCs w:val="26"/>
          <w:lang w:val="uk-UA"/>
        </w:rPr>
        <w:t>татистична інформація наявна у В</w:t>
      </w:r>
      <w:r w:rsidR="00B52A5C" w:rsidRPr="00834CC2">
        <w:rPr>
          <w:rFonts w:ascii="Times New Roman" w:hAnsi="Times New Roman" w:cs="Times New Roman"/>
          <w:sz w:val="26"/>
          <w:szCs w:val="26"/>
          <w:lang w:val="uk-UA"/>
        </w:rPr>
        <w:t xml:space="preserve">иконавчому комітеті </w:t>
      </w:r>
      <w:proofErr w:type="spellStart"/>
      <w:r w:rsidR="00B52A5C" w:rsidRPr="00834CC2">
        <w:rPr>
          <w:rFonts w:ascii="Times New Roman" w:hAnsi="Times New Roman" w:cs="Times New Roman"/>
          <w:sz w:val="26"/>
          <w:szCs w:val="26"/>
          <w:lang w:val="uk-UA"/>
        </w:rPr>
        <w:t>Студениківської</w:t>
      </w:r>
      <w:proofErr w:type="spellEnd"/>
      <w:r w:rsidR="00B52A5C" w:rsidRPr="00834CC2">
        <w:rPr>
          <w:rFonts w:ascii="Times New Roman" w:hAnsi="Times New Roman" w:cs="Times New Roman"/>
          <w:sz w:val="26"/>
          <w:szCs w:val="26"/>
          <w:lang w:val="uk-UA"/>
        </w:rPr>
        <w:t xml:space="preserve"> сільської ради.</w:t>
      </w:r>
    </w:p>
    <w:p w:rsidR="009C0167" w:rsidRPr="00834CC2" w:rsidRDefault="009C0167" w:rsidP="009C0167">
      <w:pPr>
        <w:pStyle w:val="a3"/>
        <w:numPr>
          <w:ilvl w:val="0"/>
          <w:numId w:val="10"/>
        </w:numPr>
        <w:shd w:val="clear" w:color="auto" w:fill="FFFFFF"/>
        <w:tabs>
          <w:tab w:val="left" w:pos="851"/>
        </w:tabs>
        <w:spacing w:after="0" w:line="240" w:lineRule="auto"/>
        <w:ind w:left="0" w:firstLine="567"/>
        <w:jc w:val="both"/>
        <w:rPr>
          <w:rFonts w:ascii="Times New Roman" w:hAnsi="Times New Roman" w:cs="Times New Roman"/>
          <w:sz w:val="26"/>
          <w:szCs w:val="26"/>
          <w:lang w:val="uk-UA"/>
        </w:rPr>
      </w:pPr>
      <w:r w:rsidRPr="00834CC2">
        <w:rPr>
          <w:rFonts w:ascii="Times New Roman" w:hAnsi="Times New Roman" w:cs="Times New Roman"/>
          <w:sz w:val="26"/>
          <w:szCs w:val="26"/>
          <w:lang w:val="uk-UA"/>
        </w:rPr>
        <w:t xml:space="preserve"> </w:t>
      </w:r>
      <w:r w:rsidR="00B52A5C" w:rsidRPr="00834CC2">
        <w:rPr>
          <w:rFonts w:ascii="Times New Roman" w:hAnsi="Times New Roman" w:cs="Times New Roman"/>
          <w:sz w:val="26"/>
          <w:szCs w:val="26"/>
          <w:lang w:val="uk-UA"/>
        </w:rPr>
        <w:t xml:space="preserve">Цільова група: </w:t>
      </w:r>
      <w:r w:rsidR="00B52A5C" w:rsidRPr="00834CC2">
        <w:rPr>
          <w:rFonts w:ascii="Times New Roman" w:hAnsi="Times New Roman" w:cs="Times New Roman"/>
          <w:sz w:val="26"/>
          <w:szCs w:val="26"/>
          <w:shd w:val="clear" w:color="auto" w:fill="FDFDFD"/>
          <w:lang w:val="uk-UA"/>
        </w:rPr>
        <w:t>суб’єкти малого та середнього бізне</w:t>
      </w:r>
      <w:r w:rsidR="007F5939" w:rsidRPr="00834CC2">
        <w:rPr>
          <w:rFonts w:ascii="Times New Roman" w:hAnsi="Times New Roman" w:cs="Times New Roman"/>
          <w:sz w:val="26"/>
          <w:szCs w:val="26"/>
          <w:shd w:val="clear" w:color="auto" w:fill="FDFDFD"/>
          <w:lang w:val="uk-UA"/>
        </w:rPr>
        <w:t>су – фізичні особи – підприємці</w:t>
      </w:r>
      <w:r w:rsidR="00B52A5C" w:rsidRPr="00834CC2">
        <w:rPr>
          <w:rFonts w:ascii="Times New Roman" w:hAnsi="Times New Roman" w:cs="Times New Roman"/>
          <w:sz w:val="26"/>
          <w:szCs w:val="26"/>
          <w:shd w:val="clear" w:color="auto" w:fill="FDFDFD"/>
          <w:lang w:val="uk-UA"/>
        </w:rPr>
        <w:t>, юридичні особи, мешканці громади.</w:t>
      </w:r>
    </w:p>
    <w:p w:rsidR="007F5939" w:rsidRPr="00834CC2" w:rsidRDefault="007F5939" w:rsidP="007F5939">
      <w:pPr>
        <w:shd w:val="clear" w:color="auto" w:fill="FFFFFF"/>
        <w:tabs>
          <w:tab w:val="left" w:pos="851"/>
        </w:tabs>
        <w:spacing w:after="0" w:line="240" w:lineRule="auto"/>
        <w:jc w:val="both"/>
        <w:rPr>
          <w:rFonts w:ascii="Conv_Rubik-Regular" w:hAnsi="Conv_Rubik-Regular"/>
          <w:sz w:val="26"/>
          <w:szCs w:val="26"/>
          <w:lang w:val="uk-UA"/>
        </w:rPr>
      </w:pPr>
    </w:p>
    <w:p w:rsidR="007F5939" w:rsidRPr="00834CC2" w:rsidRDefault="007F5939" w:rsidP="007F5939">
      <w:pPr>
        <w:shd w:val="clear" w:color="auto" w:fill="FFFFFF"/>
        <w:tabs>
          <w:tab w:val="left" w:pos="851"/>
        </w:tabs>
        <w:spacing w:after="0" w:line="240" w:lineRule="auto"/>
        <w:jc w:val="both"/>
        <w:rPr>
          <w:rFonts w:ascii="Conv_Rubik-Regular" w:hAnsi="Conv_Rubik-Regular"/>
          <w:sz w:val="26"/>
          <w:szCs w:val="26"/>
          <w:lang w:val="uk-UA"/>
        </w:rPr>
      </w:pPr>
    </w:p>
    <w:p w:rsidR="007F5939" w:rsidRPr="00834CC2" w:rsidRDefault="007F5939" w:rsidP="007F5939">
      <w:pPr>
        <w:shd w:val="clear" w:color="auto" w:fill="FFFFFF"/>
        <w:tabs>
          <w:tab w:val="left" w:pos="851"/>
        </w:tabs>
        <w:spacing w:after="0" w:line="240" w:lineRule="auto"/>
        <w:jc w:val="both"/>
        <w:rPr>
          <w:rFonts w:ascii="Conv_Rubik-Regular" w:hAnsi="Conv_Rubik-Regular"/>
          <w:sz w:val="26"/>
          <w:szCs w:val="26"/>
          <w:lang w:val="uk-UA"/>
        </w:rPr>
      </w:pPr>
    </w:p>
    <w:p w:rsidR="007F5939" w:rsidRPr="00834CC2" w:rsidRDefault="007F5939" w:rsidP="007F5939">
      <w:pPr>
        <w:shd w:val="clear" w:color="auto" w:fill="FFFFFF"/>
        <w:tabs>
          <w:tab w:val="left" w:pos="851"/>
        </w:tabs>
        <w:spacing w:after="0" w:line="240" w:lineRule="auto"/>
        <w:jc w:val="both"/>
        <w:rPr>
          <w:rFonts w:ascii="Conv_Rubik-Regular" w:hAnsi="Conv_Rubik-Regular"/>
          <w:b/>
          <w:sz w:val="26"/>
          <w:szCs w:val="26"/>
          <w:lang w:val="uk-UA"/>
        </w:rPr>
      </w:pPr>
      <w:r w:rsidRPr="00834CC2">
        <w:rPr>
          <w:rFonts w:ascii="Conv_Rubik-Regular" w:hAnsi="Conv_Rubik-Regular"/>
          <w:b/>
          <w:sz w:val="26"/>
          <w:szCs w:val="26"/>
          <w:lang w:val="uk-UA"/>
        </w:rPr>
        <w:t>Секретар сільської ради                                                                                  Н.Г. Стрижак</w:t>
      </w:r>
    </w:p>
    <w:p w:rsidR="00963675" w:rsidRPr="00834CC2" w:rsidRDefault="00963675" w:rsidP="00113423">
      <w:pPr>
        <w:shd w:val="clear" w:color="auto" w:fill="FFFFFF"/>
        <w:spacing w:after="100" w:afterAutospacing="1" w:line="240" w:lineRule="auto"/>
        <w:rPr>
          <w:rFonts w:ascii="Times New Roman" w:hAnsi="Times New Roman" w:cs="Times New Roman"/>
          <w:sz w:val="26"/>
          <w:szCs w:val="26"/>
          <w:lang w:val="uk-UA"/>
        </w:rPr>
      </w:pPr>
    </w:p>
    <w:sectPr w:rsidR="00963675" w:rsidRPr="00834CC2" w:rsidSect="007F5939">
      <w:pgSz w:w="11906" w:h="16838"/>
      <w:pgMar w:top="993" w:right="707"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onv_Rubik-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566"/>
    <w:multiLevelType w:val="hybridMultilevel"/>
    <w:tmpl w:val="AAD644BA"/>
    <w:lvl w:ilvl="0" w:tplc="93582820">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18DD1305"/>
    <w:multiLevelType w:val="multilevel"/>
    <w:tmpl w:val="9B302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532141"/>
    <w:multiLevelType w:val="hybridMultilevel"/>
    <w:tmpl w:val="2F3C733A"/>
    <w:lvl w:ilvl="0" w:tplc="B2A26A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A5737EF"/>
    <w:multiLevelType w:val="multilevel"/>
    <w:tmpl w:val="FF445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A862E12"/>
    <w:multiLevelType w:val="multilevel"/>
    <w:tmpl w:val="68C6F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6E12C85"/>
    <w:multiLevelType w:val="multilevel"/>
    <w:tmpl w:val="34748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7405EA"/>
    <w:multiLevelType w:val="multilevel"/>
    <w:tmpl w:val="2654E6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C0778F"/>
    <w:multiLevelType w:val="multilevel"/>
    <w:tmpl w:val="DBA290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C20C6F"/>
    <w:multiLevelType w:val="multilevel"/>
    <w:tmpl w:val="44C46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5EE7C6A"/>
    <w:multiLevelType w:val="hybridMultilevel"/>
    <w:tmpl w:val="7FFEA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4"/>
  </w:num>
  <w:num w:numId="5">
    <w:abstractNumId w:val="3"/>
  </w:num>
  <w:num w:numId="6">
    <w:abstractNumId w:val="6"/>
  </w:num>
  <w:num w:numId="7">
    <w:abstractNumId w:val="7"/>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5C3"/>
    <w:rsid w:val="000201B6"/>
    <w:rsid w:val="00031830"/>
    <w:rsid w:val="000668D5"/>
    <w:rsid w:val="00087450"/>
    <w:rsid w:val="00113423"/>
    <w:rsid w:val="0013732A"/>
    <w:rsid w:val="00180BCB"/>
    <w:rsid w:val="00182925"/>
    <w:rsid w:val="0019049B"/>
    <w:rsid w:val="001969AF"/>
    <w:rsid w:val="0025338C"/>
    <w:rsid w:val="00265E61"/>
    <w:rsid w:val="002A0289"/>
    <w:rsid w:val="002D452D"/>
    <w:rsid w:val="002E05C3"/>
    <w:rsid w:val="0030513C"/>
    <w:rsid w:val="003B0927"/>
    <w:rsid w:val="003C77AB"/>
    <w:rsid w:val="00473AA8"/>
    <w:rsid w:val="004A07BB"/>
    <w:rsid w:val="004C073B"/>
    <w:rsid w:val="004F7EC5"/>
    <w:rsid w:val="00571552"/>
    <w:rsid w:val="005C4CB6"/>
    <w:rsid w:val="00627595"/>
    <w:rsid w:val="0068356B"/>
    <w:rsid w:val="006C2F40"/>
    <w:rsid w:val="00784FE2"/>
    <w:rsid w:val="007B292D"/>
    <w:rsid w:val="007F5939"/>
    <w:rsid w:val="00834CC2"/>
    <w:rsid w:val="00854083"/>
    <w:rsid w:val="00881F35"/>
    <w:rsid w:val="008F7411"/>
    <w:rsid w:val="00913AB4"/>
    <w:rsid w:val="00963675"/>
    <w:rsid w:val="00967EE5"/>
    <w:rsid w:val="009C0167"/>
    <w:rsid w:val="009D3679"/>
    <w:rsid w:val="009D7861"/>
    <w:rsid w:val="00A128E9"/>
    <w:rsid w:val="00A4659B"/>
    <w:rsid w:val="00B52A5C"/>
    <w:rsid w:val="00BB277F"/>
    <w:rsid w:val="00BB50A6"/>
    <w:rsid w:val="00BF7B8E"/>
    <w:rsid w:val="00C73121"/>
    <w:rsid w:val="00CA5806"/>
    <w:rsid w:val="00CF6180"/>
    <w:rsid w:val="00D6300D"/>
    <w:rsid w:val="00DC00AE"/>
    <w:rsid w:val="00E00FEA"/>
    <w:rsid w:val="00EC579E"/>
    <w:rsid w:val="00F30022"/>
    <w:rsid w:val="00F82E73"/>
    <w:rsid w:val="00F8359A"/>
    <w:rsid w:val="00FD3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5CF25"/>
  <w15:chartTrackingRefBased/>
  <w15:docId w15:val="{294F21E8-5FC5-45B4-AEB7-D3DB80094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0289"/>
    <w:pPr>
      <w:ind w:left="720"/>
      <w:contextualSpacing/>
    </w:pPr>
  </w:style>
  <w:style w:type="table" w:styleId="a4">
    <w:name w:val="Table Grid"/>
    <w:basedOn w:val="a1"/>
    <w:uiPriority w:val="39"/>
    <w:rsid w:val="002D4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3051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25338C"/>
    <w:rPr>
      <w:b/>
      <w:bCs/>
    </w:rPr>
  </w:style>
  <w:style w:type="paragraph" w:styleId="a7">
    <w:name w:val="Balloon Text"/>
    <w:basedOn w:val="a"/>
    <w:link w:val="a8"/>
    <w:uiPriority w:val="99"/>
    <w:semiHidden/>
    <w:unhideWhenUsed/>
    <w:rsid w:val="004A07B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A07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54314">
      <w:bodyDiv w:val="1"/>
      <w:marLeft w:val="0"/>
      <w:marRight w:val="0"/>
      <w:marTop w:val="0"/>
      <w:marBottom w:val="0"/>
      <w:divBdr>
        <w:top w:val="none" w:sz="0" w:space="0" w:color="auto"/>
        <w:left w:val="none" w:sz="0" w:space="0" w:color="auto"/>
        <w:bottom w:val="none" w:sz="0" w:space="0" w:color="auto"/>
        <w:right w:val="none" w:sz="0" w:space="0" w:color="auto"/>
      </w:divBdr>
    </w:div>
    <w:div w:id="1272129395">
      <w:bodyDiv w:val="1"/>
      <w:marLeft w:val="0"/>
      <w:marRight w:val="0"/>
      <w:marTop w:val="0"/>
      <w:marBottom w:val="0"/>
      <w:divBdr>
        <w:top w:val="none" w:sz="0" w:space="0" w:color="auto"/>
        <w:left w:val="none" w:sz="0" w:space="0" w:color="auto"/>
        <w:bottom w:val="none" w:sz="0" w:space="0" w:color="auto"/>
        <w:right w:val="none" w:sz="0" w:space="0" w:color="auto"/>
      </w:divBdr>
    </w:div>
    <w:div w:id="1380517557">
      <w:bodyDiv w:val="1"/>
      <w:marLeft w:val="0"/>
      <w:marRight w:val="0"/>
      <w:marTop w:val="0"/>
      <w:marBottom w:val="0"/>
      <w:divBdr>
        <w:top w:val="none" w:sz="0" w:space="0" w:color="auto"/>
        <w:left w:val="none" w:sz="0" w:space="0" w:color="auto"/>
        <w:bottom w:val="none" w:sz="0" w:space="0" w:color="auto"/>
        <w:right w:val="none" w:sz="0" w:space="0" w:color="auto"/>
      </w:divBdr>
    </w:div>
    <w:div w:id="189276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51EB9-C196-4752-B7DA-7168D2189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2432</Words>
  <Characters>13868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gypnor</Company>
  <LinksUpToDate>false</LinksUpToDate>
  <CharactersWithSpaces>16268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Yurist3</dc:creator>
  <cp:keywords/>
  <dc:description/>
  <cp:lastModifiedBy>Daryna</cp:lastModifiedBy>
  <cp:revision>6</cp:revision>
  <cp:lastPrinted>2021-04-09T06:59:00Z</cp:lastPrinted>
  <dcterms:created xsi:type="dcterms:W3CDTF">2021-04-09T06:23:00Z</dcterms:created>
  <dcterms:modified xsi:type="dcterms:W3CDTF">2021-07-20T13:56:00Z</dcterms:modified>
</cp:coreProperties>
</file>