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99B" w:rsidRDefault="00E1499B" w:rsidP="00E1499B">
      <w:pPr>
        <w:spacing w:after="0" w:line="240" w:lineRule="auto"/>
        <w:contextualSpacing/>
        <w:jc w:val="center"/>
        <w:rPr>
          <w:rFonts w:ascii="Times New Roman" w:hAnsi="Times New Roman" w:cs="Times New Roman"/>
          <w:b/>
          <w:color w:val="000000"/>
          <w:sz w:val="28"/>
          <w:szCs w:val="28"/>
        </w:rPr>
      </w:pPr>
      <w:r>
        <w:rPr>
          <w:rFonts w:ascii="Times New Roman" w:hAnsi="Times New Roman" w:cs="Times New Roman"/>
          <w:b/>
          <w:color w:val="000000"/>
          <w:sz w:val="28"/>
          <w:szCs w:val="28"/>
        </w:rPr>
        <w:t>ЗАЯВА</w:t>
      </w:r>
    </w:p>
    <w:p w:rsidR="00E1499B" w:rsidRDefault="00E1499B" w:rsidP="00E1499B">
      <w:pPr>
        <w:spacing w:after="0" w:line="240" w:lineRule="auto"/>
        <w:ind w:firstLine="426"/>
        <w:contextualSpacing/>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ПРО ВИЗНАЧЕННЯ ОБСЯГУ</w:t>
      </w:r>
    </w:p>
    <w:p w:rsidR="00E1499B" w:rsidRDefault="00E1499B" w:rsidP="00E1499B">
      <w:pPr>
        <w:spacing w:after="0" w:line="240" w:lineRule="auto"/>
        <w:ind w:firstLine="426"/>
        <w:contextualSpacing/>
        <w:jc w:val="center"/>
        <w:rPr>
          <w:rFonts w:ascii="Times New Roman" w:hAnsi="Times New Roman" w:cs="Times New Roman"/>
          <w:b/>
          <w:color w:val="000000"/>
          <w:sz w:val="28"/>
          <w:szCs w:val="28"/>
        </w:rPr>
      </w:pPr>
      <w:r>
        <w:rPr>
          <w:rFonts w:ascii="Times New Roman" w:hAnsi="Times New Roman" w:cs="Times New Roman"/>
          <w:b/>
          <w:color w:val="000000"/>
          <w:sz w:val="28"/>
          <w:szCs w:val="28"/>
        </w:rPr>
        <w:t>СТРАТЕГІЧНОЇ ЕКОЛОГІЧНОЇ ОЦІНКИ</w:t>
      </w:r>
    </w:p>
    <w:p w:rsidR="00E1499B" w:rsidRDefault="00E1499B" w:rsidP="00E1499B">
      <w:pPr>
        <w:spacing w:after="0" w:line="240" w:lineRule="auto"/>
        <w:ind w:firstLine="426"/>
        <w:contextualSpacing/>
        <w:jc w:val="center"/>
        <w:rPr>
          <w:rFonts w:ascii="Times New Roman" w:hAnsi="Times New Roman" w:cs="Times New Roman"/>
          <w:b/>
          <w:color w:val="000000"/>
          <w:sz w:val="28"/>
          <w:szCs w:val="28"/>
        </w:rPr>
      </w:pPr>
      <w:r>
        <w:rPr>
          <w:rFonts w:ascii="Times New Roman" w:hAnsi="Times New Roman" w:cs="Times New Roman"/>
          <w:b/>
          <w:color w:val="000000"/>
          <w:sz w:val="28"/>
          <w:szCs w:val="28"/>
        </w:rPr>
        <w:t>ДОКУМЕНТУ ДЕРЖАВНОГО ПЛАНУВАННЯ</w:t>
      </w:r>
    </w:p>
    <w:p w:rsidR="00E1499B" w:rsidRDefault="00E1499B" w:rsidP="00E1499B">
      <w:pPr>
        <w:widowControl w:val="0"/>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bCs/>
          <w:caps/>
          <w:color w:val="000000"/>
          <w:lang w:eastAsia="uk-UA"/>
        </w:rPr>
      </w:pPr>
      <w:r>
        <w:rPr>
          <w:rFonts w:ascii="Times New Roman" w:eastAsia="Times New Roman" w:hAnsi="Times New Roman" w:cs="Times New Roman"/>
          <w:b/>
          <w:caps/>
          <w:color w:val="000000"/>
          <w:lang w:eastAsia="uk-UA"/>
        </w:rPr>
        <w:t>пРОЕКТУ Г е н е р а л ь н ОГО   п л а нУ</w:t>
      </w:r>
    </w:p>
    <w:p w:rsidR="00E1499B" w:rsidRDefault="00E1499B" w:rsidP="00E1499B">
      <w:pPr>
        <w:tabs>
          <w:tab w:val="left" w:pos="6607"/>
        </w:tabs>
        <w:spacing w:after="0" w:line="240" w:lineRule="auto"/>
        <w:jc w:val="center"/>
        <w:rPr>
          <w:rFonts w:ascii="Times New Roman" w:hAnsi="Times New Roman"/>
          <w:b/>
          <w:bCs/>
          <w:caps/>
          <w:color w:val="000000"/>
        </w:rPr>
      </w:pPr>
      <w:r>
        <w:rPr>
          <w:rFonts w:ascii="Times New Roman" w:hAnsi="Times New Roman"/>
          <w:b/>
          <w:bCs/>
          <w:caps/>
          <w:color w:val="000000"/>
        </w:rPr>
        <w:t>села Сомкова Долина</w:t>
      </w:r>
    </w:p>
    <w:p w:rsidR="00E1499B" w:rsidRDefault="00E1499B" w:rsidP="00E1499B">
      <w:pPr>
        <w:tabs>
          <w:tab w:val="left" w:pos="6607"/>
        </w:tabs>
        <w:spacing w:after="0" w:line="240" w:lineRule="auto"/>
        <w:jc w:val="center"/>
        <w:rPr>
          <w:rFonts w:ascii="Times New Roman" w:hAnsi="Times New Roman"/>
          <w:b/>
          <w:bCs/>
          <w:caps/>
          <w:color w:val="000000"/>
        </w:rPr>
      </w:pPr>
      <w:r>
        <w:rPr>
          <w:rFonts w:ascii="Times New Roman" w:hAnsi="Times New Roman"/>
          <w:b/>
          <w:bCs/>
          <w:caps/>
          <w:color w:val="000000"/>
        </w:rPr>
        <w:t>ПЕРЕЯСЛАВ-ХМЕЛЬНИЦЬКОГО району</w:t>
      </w:r>
    </w:p>
    <w:p w:rsidR="00E1499B" w:rsidRDefault="00E1499B" w:rsidP="00E1499B">
      <w:pPr>
        <w:tabs>
          <w:tab w:val="left" w:pos="6607"/>
        </w:tabs>
        <w:spacing w:after="0" w:line="240" w:lineRule="auto"/>
        <w:jc w:val="center"/>
        <w:rPr>
          <w:rFonts w:ascii="Times New Roman" w:hAnsi="Times New Roman"/>
          <w:b/>
          <w:bCs/>
          <w:caps/>
          <w:color w:val="000000"/>
        </w:rPr>
      </w:pPr>
      <w:r>
        <w:rPr>
          <w:rFonts w:ascii="Times New Roman" w:hAnsi="Times New Roman"/>
          <w:b/>
          <w:bCs/>
          <w:caps/>
          <w:color w:val="000000"/>
        </w:rPr>
        <w:t>київської області</w:t>
      </w:r>
    </w:p>
    <w:p w:rsidR="00E1499B" w:rsidRDefault="00E1499B" w:rsidP="00E1499B">
      <w:pPr>
        <w:tabs>
          <w:tab w:val="left" w:pos="6607"/>
        </w:tabs>
        <w:spacing w:after="0" w:line="240" w:lineRule="auto"/>
        <w:rPr>
          <w:rFonts w:ascii="Times New Roman" w:hAnsi="Times New Roman"/>
          <w:b/>
          <w:bCs/>
          <w:caps/>
          <w:color w:val="000000"/>
        </w:rPr>
      </w:pPr>
    </w:p>
    <w:p w:rsidR="00E1499B" w:rsidRDefault="00E1499B" w:rsidP="00E1499B">
      <w:pPr>
        <w:numPr>
          <w:ilvl w:val="0"/>
          <w:numId w:val="1"/>
        </w:numPr>
        <w:tabs>
          <w:tab w:val="left" w:pos="284"/>
        </w:tabs>
        <w:spacing w:after="0" w:line="240" w:lineRule="auto"/>
        <w:contextualSpacing/>
        <w:jc w:val="both"/>
        <w:rPr>
          <w:rFonts w:ascii="Times New Roman" w:hAnsi="Times New Roman" w:cs="Times New Roman"/>
          <w:b/>
          <w:sz w:val="28"/>
          <w:szCs w:val="28"/>
        </w:rPr>
      </w:pPr>
      <w:r>
        <w:rPr>
          <w:rFonts w:ascii="Times New Roman" w:hAnsi="Times New Roman" w:cs="Times New Roman"/>
          <w:b/>
          <w:sz w:val="28"/>
          <w:szCs w:val="28"/>
        </w:rPr>
        <w:t>Відомості про замовника.</w:t>
      </w:r>
    </w:p>
    <w:p w:rsidR="002F6026" w:rsidRDefault="00E1499B" w:rsidP="002F6026">
      <w:pPr>
        <w:tabs>
          <w:tab w:val="left" w:pos="0"/>
        </w:tabs>
        <w:spacing w:after="0" w:line="240" w:lineRule="auto"/>
        <w:jc w:val="both"/>
        <w:rPr>
          <w:rFonts w:ascii="Times New Roman" w:hAnsi="Times New Roman"/>
          <w:sz w:val="28"/>
          <w:szCs w:val="28"/>
        </w:rPr>
      </w:pPr>
      <w:r>
        <w:rPr>
          <w:rFonts w:ascii="Times New Roman" w:hAnsi="Times New Roman"/>
          <w:sz w:val="28"/>
          <w:szCs w:val="28"/>
        </w:rPr>
        <w:tab/>
      </w:r>
      <w:r w:rsidR="0003589A">
        <w:rPr>
          <w:rFonts w:ascii="Times New Roman" w:hAnsi="Times New Roman"/>
          <w:sz w:val="28"/>
          <w:szCs w:val="28"/>
        </w:rPr>
        <w:t>Студениківська сільська рада</w:t>
      </w:r>
      <w:r w:rsidR="002F6026" w:rsidRPr="002F6026">
        <w:rPr>
          <w:rFonts w:ascii="Times New Roman" w:hAnsi="Times New Roman"/>
          <w:sz w:val="28"/>
          <w:szCs w:val="28"/>
        </w:rPr>
        <w:t xml:space="preserve">, Переяслав-Хмельницького району, Київської області </w:t>
      </w:r>
    </w:p>
    <w:p w:rsidR="002F6026" w:rsidRDefault="002F6026" w:rsidP="002F6026">
      <w:pPr>
        <w:tabs>
          <w:tab w:val="left" w:pos="0"/>
        </w:tabs>
        <w:spacing w:after="0" w:line="240" w:lineRule="auto"/>
        <w:jc w:val="both"/>
        <w:rPr>
          <w:rFonts w:ascii="Times New Roman" w:hAnsi="Times New Roman"/>
          <w:sz w:val="28"/>
          <w:szCs w:val="28"/>
        </w:rPr>
      </w:pPr>
      <w:r>
        <w:rPr>
          <w:rFonts w:ascii="Times New Roman" w:hAnsi="Times New Roman"/>
          <w:sz w:val="28"/>
          <w:szCs w:val="28"/>
        </w:rPr>
        <w:t>Поштова адреса: вул. Переяславська 19, с.</w:t>
      </w:r>
      <w:r w:rsidR="000335F3">
        <w:rPr>
          <w:rFonts w:ascii="Times New Roman" w:hAnsi="Times New Roman"/>
          <w:sz w:val="28"/>
          <w:szCs w:val="28"/>
        </w:rPr>
        <w:t xml:space="preserve"> </w:t>
      </w:r>
      <w:r>
        <w:rPr>
          <w:rFonts w:ascii="Times New Roman" w:hAnsi="Times New Roman"/>
          <w:sz w:val="28"/>
          <w:szCs w:val="28"/>
        </w:rPr>
        <w:t>Студеники</w:t>
      </w:r>
      <w:r w:rsidRPr="002F6026">
        <w:rPr>
          <w:rFonts w:ascii="Times New Roman" w:hAnsi="Times New Roman"/>
          <w:sz w:val="28"/>
          <w:szCs w:val="28"/>
        </w:rPr>
        <w:t>, Переяслав-Хмельницько району, Київської області, 08421.</w:t>
      </w:r>
    </w:p>
    <w:p w:rsidR="002F6026" w:rsidRPr="002F6026" w:rsidRDefault="002F6026" w:rsidP="002F6026">
      <w:pPr>
        <w:tabs>
          <w:tab w:val="left" w:pos="0"/>
        </w:tabs>
        <w:spacing w:after="0" w:line="240" w:lineRule="auto"/>
        <w:jc w:val="both"/>
        <w:rPr>
          <w:rFonts w:ascii="Times New Roman" w:hAnsi="Times New Roman"/>
          <w:sz w:val="28"/>
          <w:szCs w:val="28"/>
        </w:rPr>
      </w:pPr>
      <w:r w:rsidRPr="002F6026">
        <w:rPr>
          <w:rFonts w:ascii="Times New Roman" w:hAnsi="Times New Roman"/>
          <w:bCs/>
          <w:sz w:val="28"/>
          <w:szCs w:val="28"/>
        </w:rPr>
        <w:t>Код ЄДРПОУ</w:t>
      </w:r>
      <w:r w:rsidRPr="002F6026">
        <w:rPr>
          <w:rFonts w:ascii="Times New Roman" w:hAnsi="Times New Roman"/>
          <w:b/>
          <w:bCs/>
          <w:sz w:val="28"/>
          <w:szCs w:val="28"/>
        </w:rPr>
        <w:t>:</w:t>
      </w:r>
      <w:r w:rsidRPr="002F6026">
        <w:rPr>
          <w:rFonts w:ascii="Times New Roman" w:hAnsi="Times New Roman"/>
          <w:sz w:val="28"/>
          <w:szCs w:val="28"/>
        </w:rPr>
        <w:t> 04358916</w:t>
      </w:r>
    </w:p>
    <w:p w:rsidR="00E1499B" w:rsidRDefault="00E1499B" w:rsidP="00E1499B">
      <w:pPr>
        <w:tabs>
          <w:tab w:val="left" w:pos="0"/>
        </w:tabs>
        <w:spacing w:after="0" w:line="240" w:lineRule="auto"/>
        <w:jc w:val="both"/>
        <w:rPr>
          <w:rFonts w:ascii="Times New Roman" w:hAnsi="Times New Roman"/>
          <w:sz w:val="28"/>
          <w:szCs w:val="28"/>
        </w:rPr>
      </w:pPr>
    </w:p>
    <w:p w:rsidR="00E1499B" w:rsidRDefault="00E1499B" w:rsidP="00E1499B">
      <w:pPr>
        <w:numPr>
          <w:ilvl w:val="0"/>
          <w:numId w:val="2"/>
        </w:numPr>
        <w:tabs>
          <w:tab w:val="left" w:pos="284"/>
        </w:tabs>
        <w:spacing w:after="0" w:line="240" w:lineRule="auto"/>
        <w:contextualSpacing/>
        <w:jc w:val="both"/>
        <w:rPr>
          <w:rFonts w:ascii="Times New Roman" w:hAnsi="Times New Roman" w:cs="Times New Roman"/>
          <w:b/>
          <w:sz w:val="28"/>
          <w:szCs w:val="28"/>
        </w:rPr>
      </w:pPr>
      <w:r>
        <w:rPr>
          <w:rFonts w:ascii="Times New Roman" w:hAnsi="Times New Roman" w:cs="Times New Roman"/>
          <w:b/>
          <w:sz w:val="28"/>
          <w:szCs w:val="28"/>
        </w:rPr>
        <w:t>Вид та основні цілі документа державного планування, його зв’язок з іншими документами державного планування</w:t>
      </w:r>
    </w:p>
    <w:p w:rsidR="00E1499B" w:rsidRDefault="00E1499B" w:rsidP="00E1499B">
      <w:pPr>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Вид Документу Державного Планування. </w:t>
      </w:r>
    </w:p>
    <w:p w:rsidR="00E1499B" w:rsidRDefault="00E1499B" w:rsidP="00E149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Генеральний план населеного пункту є основним видом містобудівної документації на місцевому рівні, призначеної для обґрунтування довгострокової стратегії планування та забудови території населеного пункту, що розробляється на виконання статті 17 Закону України “Про регулювання містобудівної діяльності”.</w:t>
      </w:r>
    </w:p>
    <w:p w:rsidR="00E1499B" w:rsidRDefault="00E1499B" w:rsidP="00E149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Генеральний план населеного пункту розробляється та затверджується в інтересах відповідної територіальної громади з урахуванням державних, громадських та приватних інтересів.</w:t>
      </w:r>
    </w:p>
    <w:p w:rsidR="00E1499B" w:rsidRDefault="00E1499B" w:rsidP="00E1499B">
      <w:pPr>
        <w:spacing w:after="0" w:line="240" w:lineRule="auto"/>
        <w:ind w:firstLine="709"/>
        <w:jc w:val="both"/>
        <w:rPr>
          <w:rFonts w:ascii="Times New Roman" w:hAnsi="Times New Roman"/>
          <w:color w:val="000000"/>
          <w:sz w:val="28"/>
          <w:szCs w:val="28"/>
        </w:rPr>
      </w:pPr>
      <w:r>
        <w:rPr>
          <w:rFonts w:ascii="Times New Roman" w:hAnsi="Times New Roman" w:cs="Times New Roman"/>
          <w:sz w:val="28"/>
          <w:szCs w:val="28"/>
        </w:rPr>
        <w:t xml:space="preserve">Склад та зміст генерального плану визначається ДБН Б.1.1-15:2012 “Склад та зміст генерального плану населеного пункту”, </w:t>
      </w:r>
      <w:r>
        <w:rPr>
          <w:rFonts w:ascii="Times New Roman" w:hAnsi="Times New Roman"/>
          <w:sz w:val="28"/>
          <w:szCs w:val="28"/>
        </w:rPr>
        <w:t>ДБН Б.2.2-12:2018 “Планування і забудова територій»</w:t>
      </w:r>
      <w:r>
        <w:rPr>
          <w:rFonts w:ascii="Times New Roman" w:hAnsi="Times New Roman"/>
          <w:color w:val="000000"/>
          <w:sz w:val="28"/>
          <w:szCs w:val="28"/>
        </w:rPr>
        <w:t xml:space="preserve">. </w:t>
      </w:r>
      <w:r>
        <w:rPr>
          <w:rFonts w:ascii="Times New Roman" w:hAnsi="Times New Roman" w:cs="Times New Roman"/>
          <w:sz w:val="28"/>
          <w:szCs w:val="28"/>
        </w:rPr>
        <w:t>Рішення генерального плану мають відповідати вимогам чинного законодавства,  державним будівельним нормам, санітарним правилам, державним стандартам України у сфері містобудування.</w:t>
      </w:r>
    </w:p>
    <w:p w:rsidR="00E1499B" w:rsidRDefault="00E1499B" w:rsidP="00E1499B">
      <w:pPr>
        <w:tabs>
          <w:tab w:val="left" w:pos="284"/>
        </w:tabs>
        <w:spacing w:after="0" w:line="240" w:lineRule="auto"/>
        <w:contextualSpacing/>
        <w:jc w:val="both"/>
        <w:rPr>
          <w:rFonts w:ascii="Times New Roman" w:hAnsi="Times New Roman" w:cs="Times New Roman"/>
          <w:b/>
          <w:i/>
          <w:sz w:val="28"/>
          <w:szCs w:val="28"/>
        </w:rPr>
      </w:pPr>
      <w:r>
        <w:rPr>
          <w:rFonts w:ascii="Times New Roman" w:hAnsi="Times New Roman" w:cs="Times New Roman"/>
          <w:i/>
          <w:sz w:val="28"/>
          <w:szCs w:val="28"/>
        </w:rPr>
        <w:tab/>
      </w:r>
      <w:r>
        <w:rPr>
          <w:rFonts w:ascii="Times New Roman" w:hAnsi="Times New Roman" w:cs="Times New Roman"/>
          <w:b/>
          <w:i/>
          <w:sz w:val="28"/>
          <w:szCs w:val="28"/>
        </w:rPr>
        <w:t>Цілі Документа Державного Планування.</w:t>
      </w:r>
    </w:p>
    <w:p w:rsidR="00E1499B" w:rsidRDefault="00E1499B" w:rsidP="00E1499B">
      <w:pPr>
        <w:spacing w:after="0" w:line="240" w:lineRule="auto"/>
        <w:ind w:firstLine="284"/>
        <w:jc w:val="both"/>
        <w:rPr>
          <w:rFonts w:ascii="Times New Roman" w:hAnsi="Times New Roman"/>
          <w:sz w:val="28"/>
          <w:szCs w:val="28"/>
        </w:rPr>
      </w:pPr>
      <w:r>
        <w:rPr>
          <w:rFonts w:ascii="Times New Roman" w:hAnsi="Times New Roman"/>
          <w:sz w:val="28"/>
          <w:szCs w:val="28"/>
        </w:rPr>
        <w:t xml:space="preserve">- функціонально-планувальна організація території з урахуванням існуючих та перспективних планувальних обмежень, санітарно-захисних, природоохоронних зон, тощо; </w:t>
      </w:r>
    </w:p>
    <w:p w:rsidR="00E1499B" w:rsidRDefault="00E1499B" w:rsidP="00E1499B">
      <w:pPr>
        <w:spacing w:after="0" w:line="240" w:lineRule="auto"/>
        <w:ind w:firstLine="284"/>
        <w:jc w:val="both"/>
        <w:rPr>
          <w:rFonts w:ascii="Times New Roman" w:hAnsi="Times New Roman"/>
          <w:sz w:val="28"/>
          <w:szCs w:val="28"/>
        </w:rPr>
      </w:pPr>
      <w:r>
        <w:rPr>
          <w:rFonts w:ascii="Times New Roman" w:hAnsi="Times New Roman"/>
          <w:sz w:val="28"/>
          <w:szCs w:val="28"/>
        </w:rPr>
        <w:t>- розміщення житлової забудови поза межами зон санітарно-екологічних впливів;</w:t>
      </w:r>
    </w:p>
    <w:p w:rsidR="00E1499B" w:rsidRDefault="00E1499B" w:rsidP="00E1499B">
      <w:pPr>
        <w:spacing w:after="0" w:line="240" w:lineRule="auto"/>
        <w:ind w:firstLine="284"/>
        <w:jc w:val="both"/>
        <w:rPr>
          <w:rFonts w:ascii="Times New Roman" w:hAnsi="Times New Roman"/>
          <w:sz w:val="28"/>
          <w:szCs w:val="28"/>
        </w:rPr>
      </w:pPr>
      <w:r>
        <w:rPr>
          <w:rFonts w:ascii="Times New Roman" w:hAnsi="Times New Roman"/>
          <w:sz w:val="28"/>
          <w:szCs w:val="28"/>
        </w:rPr>
        <w:t xml:space="preserve">- ліквідація недіючих об’єктів  та зміна функціонального призначення їх території, забезпечення екологічної оптимізації їх території шляхом планувального та санітарно-гігієнічного її облаштування (в тому числі санітарно-захисних зон);  </w:t>
      </w:r>
    </w:p>
    <w:p w:rsidR="00E1499B" w:rsidRDefault="00E1499B" w:rsidP="00E1499B">
      <w:pPr>
        <w:spacing w:after="0" w:line="240" w:lineRule="auto"/>
        <w:ind w:firstLine="284"/>
        <w:jc w:val="both"/>
        <w:rPr>
          <w:rFonts w:ascii="Times New Roman" w:hAnsi="Times New Roman"/>
          <w:sz w:val="28"/>
          <w:szCs w:val="28"/>
        </w:rPr>
      </w:pPr>
      <w:r>
        <w:rPr>
          <w:rFonts w:ascii="Times New Roman" w:hAnsi="Times New Roman"/>
          <w:sz w:val="28"/>
          <w:szCs w:val="28"/>
        </w:rPr>
        <w:t>- санітарне та протишумове  озеленення,  створення та благоустрій зелених насаджень вздовж вулиць та доріг; поточний догляд за зеленими насадженнями загального користування;</w:t>
      </w:r>
    </w:p>
    <w:p w:rsidR="00E1499B" w:rsidRDefault="00E1499B" w:rsidP="00E1499B">
      <w:pPr>
        <w:tabs>
          <w:tab w:val="left" w:pos="0"/>
        </w:tabs>
        <w:spacing w:after="0" w:line="240" w:lineRule="auto"/>
        <w:ind w:firstLine="284"/>
        <w:jc w:val="both"/>
        <w:rPr>
          <w:rFonts w:ascii="Times New Roman" w:hAnsi="Times New Roman"/>
          <w:sz w:val="28"/>
          <w:szCs w:val="28"/>
        </w:rPr>
      </w:pPr>
      <w:r>
        <w:rPr>
          <w:rFonts w:ascii="Times New Roman" w:hAnsi="Times New Roman"/>
          <w:sz w:val="28"/>
          <w:szCs w:val="28"/>
        </w:rPr>
        <w:lastRenderedPageBreak/>
        <w:t xml:space="preserve">- організація належного водопостачання для всіх водоспоживачів села, з забезпеченням потреб у воді на території нової забудови (буріння додаткових свердловин, прокладання та заміна мереж і ін.); </w:t>
      </w:r>
    </w:p>
    <w:p w:rsidR="00E1499B" w:rsidRDefault="00E1499B" w:rsidP="00E1499B">
      <w:pPr>
        <w:tabs>
          <w:tab w:val="left" w:pos="0"/>
        </w:tabs>
        <w:spacing w:after="0" w:line="240" w:lineRule="auto"/>
        <w:ind w:firstLine="284"/>
        <w:jc w:val="both"/>
        <w:rPr>
          <w:rFonts w:ascii="Times New Roman" w:hAnsi="Times New Roman"/>
          <w:sz w:val="28"/>
          <w:szCs w:val="28"/>
        </w:rPr>
      </w:pPr>
      <w:r>
        <w:rPr>
          <w:rFonts w:ascii="Times New Roman" w:hAnsi="Times New Roman"/>
          <w:sz w:val="28"/>
          <w:szCs w:val="28"/>
        </w:rPr>
        <w:t>-дотримання зон суворого режиму на свердловинах питного водопостачання та забезпечення належної якості питних вод, при необхідності влаштування споруд доочистки, запровадження сучасних методів економії води з забороною використання питних вод для технічних цілей;</w:t>
      </w:r>
    </w:p>
    <w:p w:rsidR="00E1499B" w:rsidRDefault="00E1499B" w:rsidP="00E1499B">
      <w:pPr>
        <w:spacing w:after="0" w:line="240" w:lineRule="auto"/>
        <w:jc w:val="both"/>
        <w:rPr>
          <w:rFonts w:ascii="Times New Roman" w:hAnsi="Times New Roman"/>
          <w:sz w:val="28"/>
          <w:szCs w:val="28"/>
        </w:rPr>
      </w:pPr>
      <w:r>
        <w:rPr>
          <w:rFonts w:ascii="Times New Roman" w:hAnsi="Times New Roman"/>
          <w:sz w:val="28"/>
          <w:szCs w:val="28"/>
        </w:rPr>
        <w:t>- загальний благоустрій території села – забезпечення централізованого водопостачання, каналізування, санітарної очистки, асфальтування доріг тощо;</w:t>
      </w:r>
    </w:p>
    <w:p w:rsidR="00E1499B" w:rsidRDefault="00E1499B" w:rsidP="00E1499B">
      <w:pPr>
        <w:spacing w:after="0" w:line="240" w:lineRule="auto"/>
        <w:jc w:val="both"/>
        <w:rPr>
          <w:rFonts w:ascii="Times New Roman" w:hAnsi="Times New Roman"/>
          <w:sz w:val="28"/>
          <w:szCs w:val="28"/>
        </w:rPr>
      </w:pPr>
      <w:r>
        <w:rPr>
          <w:rFonts w:ascii="Times New Roman" w:hAnsi="Times New Roman"/>
          <w:sz w:val="28"/>
          <w:szCs w:val="28"/>
        </w:rPr>
        <w:t xml:space="preserve">- благоустрій існуючих зелених насаджень та створення нових парків та скверів як рекреаційних зон загального призначення. </w:t>
      </w:r>
    </w:p>
    <w:p w:rsidR="00E1499B" w:rsidRDefault="00E1499B" w:rsidP="00E1499B">
      <w:pPr>
        <w:spacing w:after="0" w:line="240" w:lineRule="auto"/>
        <w:jc w:val="both"/>
        <w:rPr>
          <w:rFonts w:ascii="Times New Roman" w:hAnsi="Times New Roman"/>
          <w:sz w:val="28"/>
          <w:szCs w:val="28"/>
        </w:rPr>
      </w:pPr>
    </w:p>
    <w:p w:rsidR="00E1499B" w:rsidRDefault="00E1499B" w:rsidP="00E1499B">
      <w:pPr>
        <w:spacing w:after="0" w:line="240" w:lineRule="auto"/>
        <w:ind w:firstLine="708"/>
        <w:jc w:val="both"/>
        <w:rPr>
          <w:rFonts w:ascii="Times New Roman" w:hAnsi="Times New Roman"/>
          <w:i/>
          <w:sz w:val="28"/>
          <w:szCs w:val="28"/>
        </w:rPr>
      </w:pPr>
      <w:r>
        <w:rPr>
          <w:rFonts w:ascii="Times New Roman" w:hAnsi="Times New Roman"/>
          <w:i/>
          <w:sz w:val="28"/>
          <w:szCs w:val="28"/>
        </w:rPr>
        <w:t>Перелік цільових програм Київської області, які враховані при розробці проекту генерального плану.</w:t>
      </w:r>
    </w:p>
    <w:p w:rsidR="00E1499B" w:rsidRDefault="00E1499B" w:rsidP="00E1499B">
      <w:pPr>
        <w:spacing w:after="0" w:line="240" w:lineRule="auto"/>
        <w:ind w:firstLine="708"/>
        <w:jc w:val="both"/>
        <w:rPr>
          <w:rFonts w:ascii="Times New Roman" w:hAnsi="Times New Roman"/>
          <w:sz w:val="28"/>
          <w:szCs w:val="28"/>
        </w:rPr>
      </w:pPr>
      <w:r>
        <w:rPr>
          <w:rFonts w:ascii="Times New Roman" w:hAnsi="Times New Roman"/>
          <w:sz w:val="28"/>
          <w:szCs w:val="28"/>
        </w:rPr>
        <w:t>Програма „Збереження та раціональне відтворення родючості ґрунтів еродованих орних земель у Київській області на 2017-2021 роки” (Рішення Київської обласної ради від 19.05.2017 №281-14-VIІ);</w:t>
      </w:r>
    </w:p>
    <w:p w:rsidR="00E1499B" w:rsidRDefault="00E1499B" w:rsidP="00E1499B">
      <w:pPr>
        <w:spacing w:after="0" w:line="240" w:lineRule="auto"/>
        <w:ind w:firstLine="708"/>
        <w:jc w:val="both"/>
        <w:rPr>
          <w:rFonts w:ascii="Times New Roman" w:hAnsi="Times New Roman"/>
          <w:sz w:val="28"/>
          <w:szCs w:val="28"/>
        </w:rPr>
      </w:pPr>
      <w:r>
        <w:rPr>
          <w:rFonts w:ascii="Times New Roman" w:hAnsi="Times New Roman"/>
          <w:sz w:val="28"/>
          <w:szCs w:val="28"/>
        </w:rPr>
        <w:t>Регіональна комплексна програма розвитку лісового (муніципального) фонду Київської області на період до 2022 року (Рішення Київської обласної ради від 19.05.2017 №282-14-VIІ);</w:t>
      </w:r>
    </w:p>
    <w:p w:rsidR="00E1499B" w:rsidRDefault="00E1499B" w:rsidP="00E1499B">
      <w:pPr>
        <w:spacing w:after="0" w:line="240" w:lineRule="auto"/>
        <w:ind w:firstLine="708"/>
        <w:jc w:val="both"/>
        <w:rPr>
          <w:rFonts w:ascii="Times New Roman" w:hAnsi="Times New Roman"/>
          <w:sz w:val="28"/>
          <w:szCs w:val="28"/>
        </w:rPr>
      </w:pPr>
      <w:r>
        <w:rPr>
          <w:rFonts w:ascii="Times New Roman" w:hAnsi="Times New Roman"/>
          <w:sz w:val="28"/>
          <w:szCs w:val="28"/>
        </w:rPr>
        <w:t>Комплексна програма „Розвиток сільського господарства та сільських територій Київської області” на 2018-2019 роки (Рішення Київської обласної ради від 27.04.2018 № 403-21-VIІ);</w:t>
      </w:r>
    </w:p>
    <w:p w:rsidR="00E1499B" w:rsidRDefault="00E1499B" w:rsidP="00E1499B">
      <w:pPr>
        <w:spacing w:after="0" w:line="240" w:lineRule="auto"/>
        <w:ind w:firstLine="708"/>
        <w:jc w:val="both"/>
        <w:rPr>
          <w:rFonts w:ascii="Times New Roman" w:hAnsi="Times New Roman"/>
          <w:sz w:val="28"/>
          <w:szCs w:val="28"/>
        </w:rPr>
      </w:pPr>
      <w:r>
        <w:rPr>
          <w:rFonts w:ascii="Times New Roman" w:hAnsi="Times New Roman"/>
          <w:sz w:val="28"/>
          <w:szCs w:val="28"/>
        </w:rPr>
        <w:t>Програма будівництва, реконструкції та ремонту об’єктів інфраструктури Київської області на 2016-2019 роки (Рішення Київської обласної ради від 07.06.2016 №129-05-VІI (в редакції від 10.10.2018 №503-23-VІІ) Київська обласна програма індивідуального житлового будівництва на селі „Власний дім”(Рішення Київської обласної ради від 28.07.2005 №269-25-ІV);</w:t>
      </w:r>
    </w:p>
    <w:p w:rsidR="00E1499B" w:rsidRDefault="00E1499B" w:rsidP="00E1499B">
      <w:pPr>
        <w:spacing w:after="0" w:line="240" w:lineRule="auto"/>
        <w:ind w:firstLine="708"/>
        <w:jc w:val="both"/>
        <w:rPr>
          <w:rFonts w:ascii="Times New Roman" w:hAnsi="Times New Roman"/>
          <w:sz w:val="28"/>
          <w:szCs w:val="28"/>
        </w:rPr>
      </w:pPr>
      <w:r>
        <w:rPr>
          <w:rFonts w:ascii="Times New Roman" w:hAnsi="Times New Roman"/>
          <w:sz w:val="28"/>
          <w:szCs w:val="28"/>
        </w:rPr>
        <w:t>Київська обласна цільова програма „Надання фінансової підтримки комунальним підприємствам (установам, організаціям) спільної власності територіальних громад Київської області, які забезпечують діяльність обласної ради та обласної державної адміністрації на 2017-2019 роки” (Рішення Київської обласної ради від 19.05.2017 №286-14-VIІ).</w:t>
      </w:r>
    </w:p>
    <w:p w:rsidR="00E1499B" w:rsidRDefault="00E1499B" w:rsidP="00E1499B">
      <w:pPr>
        <w:spacing w:after="0" w:line="240" w:lineRule="auto"/>
        <w:ind w:firstLine="708"/>
        <w:jc w:val="both"/>
        <w:rPr>
          <w:rFonts w:ascii="Times New Roman" w:hAnsi="Times New Roman"/>
          <w:sz w:val="28"/>
          <w:szCs w:val="28"/>
        </w:rPr>
      </w:pPr>
      <w:r>
        <w:rPr>
          <w:rFonts w:ascii="Times New Roman" w:hAnsi="Times New Roman"/>
          <w:sz w:val="28"/>
          <w:szCs w:val="28"/>
        </w:rPr>
        <w:t>Програма „Питна вода Київщини на 2017-2020 роки” (Рішення Київської обласної ради від 19.05.2017 №312-14-VIІ)</w:t>
      </w:r>
    </w:p>
    <w:p w:rsidR="00E1499B" w:rsidRDefault="00E1499B" w:rsidP="00E1499B">
      <w:pPr>
        <w:spacing w:after="0" w:line="240" w:lineRule="auto"/>
        <w:ind w:firstLine="708"/>
        <w:jc w:val="both"/>
        <w:rPr>
          <w:rFonts w:ascii="Times New Roman" w:hAnsi="Times New Roman"/>
          <w:sz w:val="28"/>
          <w:szCs w:val="28"/>
        </w:rPr>
      </w:pPr>
      <w:r>
        <w:rPr>
          <w:rFonts w:ascii="Times New Roman" w:hAnsi="Times New Roman"/>
          <w:sz w:val="28"/>
          <w:szCs w:val="28"/>
        </w:rPr>
        <w:t>Програма енергозбереження (підвищення енергоефективності) Київської області на 2017-2020 роки (Рішення Київської обласної ради від 19.05.2017 №313-14-VIІ)</w:t>
      </w:r>
    </w:p>
    <w:p w:rsidR="00E1499B" w:rsidRDefault="00E1499B" w:rsidP="00E1499B">
      <w:pPr>
        <w:spacing w:after="0" w:line="240" w:lineRule="auto"/>
        <w:ind w:firstLine="708"/>
        <w:jc w:val="both"/>
        <w:rPr>
          <w:rFonts w:ascii="Times New Roman" w:hAnsi="Times New Roman"/>
          <w:sz w:val="28"/>
          <w:szCs w:val="28"/>
        </w:rPr>
      </w:pPr>
      <w:r>
        <w:rPr>
          <w:rFonts w:ascii="Times New Roman" w:hAnsi="Times New Roman"/>
          <w:sz w:val="28"/>
          <w:szCs w:val="28"/>
        </w:rPr>
        <w:t>Київська обласна програма „Запобігання та лікування серцево-судинних захворювань на 2017-2019 роки”  (Рішення Київської обласної ради від 19.05.2017 №308-14-VIІ)</w:t>
      </w:r>
    </w:p>
    <w:p w:rsidR="00E1499B" w:rsidRDefault="00E1499B" w:rsidP="00E1499B">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Київська обласна комплексна програма „Здоров’я Київщини” на 2018-2020 роки (Рішення Київської обласної ради від 27.04.2018 № 400-21-VIІ)</w:t>
      </w:r>
    </w:p>
    <w:p w:rsidR="00E1499B" w:rsidRDefault="00E1499B" w:rsidP="00E1499B">
      <w:pPr>
        <w:tabs>
          <w:tab w:val="left" w:pos="426"/>
        </w:tabs>
        <w:spacing w:after="0" w:line="240" w:lineRule="auto"/>
        <w:jc w:val="both"/>
        <w:rPr>
          <w:rFonts w:ascii="Times New Roman" w:hAnsi="Times New Roman"/>
          <w:sz w:val="28"/>
          <w:szCs w:val="28"/>
        </w:rPr>
      </w:pPr>
    </w:p>
    <w:p w:rsidR="00E1499B" w:rsidRPr="002F6026" w:rsidRDefault="00E1499B" w:rsidP="002F6026">
      <w:pPr>
        <w:pStyle w:val="a8"/>
        <w:numPr>
          <w:ilvl w:val="0"/>
          <w:numId w:val="2"/>
        </w:numPr>
        <w:tabs>
          <w:tab w:val="left" w:pos="426"/>
        </w:tabs>
        <w:spacing w:after="0" w:line="240" w:lineRule="auto"/>
        <w:jc w:val="both"/>
        <w:rPr>
          <w:rFonts w:ascii="Times New Roman" w:hAnsi="Times New Roman" w:cs="Times New Roman"/>
          <w:b/>
          <w:sz w:val="28"/>
          <w:szCs w:val="28"/>
        </w:rPr>
      </w:pPr>
      <w:r w:rsidRPr="002F6026">
        <w:rPr>
          <w:rFonts w:ascii="Times New Roman" w:hAnsi="Times New Roman" w:cs="Times New Roman"/>
          <w:b/>
          <w:sz w:val="28"/>
          <w:szCs w:val="28"/>
        </w:rPr>
        <w:t>Визначення Документ Державного Планування для реалізації видів діяльності або об’єктів, щодо яких законодавством передбачено здійснення процедури оцінки впливу на довкілля (у тому числі щодо визначення місцезнаходження, розміру, потужності або розміщення ресурсів).</w:t>
      </w:r>
    </w:p>
    <w:p w:rsidR="00E1499B" w:rsidRDefault="00E1499B" w:rsidP="00E1499B">
      <w:pPr>
        <w:tabs>
          <w:tab w:val="left" w:pos="284"/>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Реалізація проектних рішень генерального плану</w:t>
      </w:r>
      <w:r w:rsidR="00431905">
        <w:rPr>
          <w:rFonts w:ascii="Times New Roman" w:hAnsi="Times New Roman" w:cs="Times New Roman"/>
          <w:sz w:val="28"/>
          <w:szCs w:val="28"/>
        </w:rPr>
        <w:t xml:space="preserve"> (Додаток А)</w:t>
      </w:r>
      <w:r>
        <w:rPr>
          <w:rFonts w:ascii="Times New Roman" w:hAnsi="Times New Roman" w:cs="Times New Roman"/>
          <w:sz w:val="28"/>
          <w:szCs w:val="28"/>
        </w:rPr>
        <w:t xml:space="preserve"> населеного пункту може мати ймовірні наслідки для таких складових навколишнього природного середовища, як атмосферне повітря, ґрунти та геологічне середовище, поверхневі води.</w:t>
      </w:r>
    </w:p>
    <w:p w:rsidR="00E1499B" w:rsidRDefault="00E1499B" w:rsidP="00E1499B">
      <w:pPr>
        <w:tabs>
          <w:tab w:val="left" w:pos="284"/>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Виконання стратегічної екологічної оцінки Документу Державного Планування передбачає аналіз та оцінку ймовірних наслідків та ризиків реалізації проектних рішень як на окремі компоненти довкілля так і на комплексні умови функціонування села, а також на здоров’я населення.</w:t>
      </w:r>
    </w:p>
    <w:p w:rsidR="00E1499B" w:rsidRDefault="00E1499B" w:rsidP="00E1499B">
      <w:pPr>
        <w:tabs>
          <w:tab w:val="left" w:pos="284"/>
        </w:tabs>
        <w:spacing w:after="0" w:line="240" w:lineRule="auto"/>
        <w:ind w:firstLine="709"/>
        <w:contextualSpacing/>
        <w:jc w:val="both"/>
        <w:rPr>
          <w:rFonts w:ascii="Times New Roman" w:hAnsi="Times New Roman" w:cs="Times New Roman"/>
          <w:sz w:val="28"/>
          <w:szCs w:val="28"/>
        </w:rPr>
      </w:pPr>
    </w:p>
    <w:p w:rsidR="00E1499B" w:rsidRDefault="00E1499B" w:rsidP="00E1499B">
      <w:pPr>
        <w:tabs>
          <w:tab w:val="left" w:pos="284"/>
        </w:tabs>
        <w:spacing w:after="0" w:line="240" w:lineRule="auto"/>
        <w:ind w:left="709"/>
        <w:jc w:val="both"/>
        <w:rPr>
          <w:rFonts w:ascii="Times New Roman" w:hAnsi="Times New Roman" w:cs="Times New Roman"/>
          <w:sz w:val="28"/>
          <w:szCs w:val="28"/>
        </w:rPr>
      </w:pPr>
      <w:r>
        <w:rPr>
          <w:rFonts w:ascii="Times New Roman" w:hAnsi="Times New Roman"/>
          <w:sz w:val="28"/>
          <w:szCs w:val="28"/>
        </w:rPr>
        <w:tab/>
      </w:r>
      <w:r>
        <w:rPr>
          <w:rFonts w:ascii="Times New Roman" w:hAnsi="Times New Roman" w:cs="Times New Roman"/>
          <w:sz w:val="28"/>
          <w:szCs w:val="28"/>
        </w:rPr>
        <w:t>Результати аналізу стратегічних цілей наведені в таблиці.</w:t>
      </w:r>
    </w:p>
    <w:tbl>
      <w:tblPr>
        <w:tblStyle w:val="a3"/>
        <w:tblW w:w="9889" w:type="dxa"/>
        <w:tblInd w:w="0" w:type="dxa"/>
        <w:tblLook w:val="04A0" w:firstRow="1" w:lastRow="0" w:firstColumn="1" w:lastColumn="0" w:noHBand="0" w:noVBand="1"/>
      </w:tblPr>
      <w:tblGrid>
        <w:gridCol w:w="1951"/>
        <w:gridCol w:w="3260"/>
        <w:gridCol w:w="4678"/>
      </w:tblGrid>
      <w:tr w:rsidR="00E1499B" w:rsidTr="00E1499B">
        <w:tc>
          <w:tcPr>
            <w:tcW w:w="1951" w:type="dxa"/>
            <w:tcBorders>
              <w:top w:val="single" w:sz="4" w:space="0" w:color="auto"/>
              <w:left w:val="single" w:sz="4" w:space="0" w:color="auto"/>
              <w:bottom w:val="single" w:sz="4" w:space="0" w:color="auto"/>
              <w:right w:val="single" w:sz="4" w:space="0" w:color="auto"/>
            </w:tcBorders>
            <w:hideMark/>
          </w:tcPr>
          <w:p w:rsidR="00E1499B" w:rsidRDefault="00E1499B">
            <w:pPr>
              <w:jc w:val="center"/>
              <w:rPr>
                <w:rFonts w:cs="Times New Roman"/>
                <w:szCs w:val="24"/>
              </w:rPr>
            </w:pPr>
            <w:r>
              <w:rPr>
                <w:rFonts w:cs="Times New Roman"/>
                <w:szCs w:val="24"/>
              </w:rPr>
              <w:t>Сфери охорони довкілля</w:t>
            </w:r>
          </w:p>
        </w:tc>
        <w:tc>
          <w:tcPr>
            <w:tcW w:w="3260" w:type="dxa"/>
            <w:tcBorders>
              <w:top w:val="single" w:sz="4" w:space="0" w:color="auto"/>
              <w:left w:val="single" w:sz="4" w:space="0" w:color="auto"/>
              <w:bottom w:val="single" w:sz="4" w:space="0" w:color="auto"/>
              <w:right w:val="single" w:sz="4" w:space="0" w:color="auto"/>
            </w:tcBorders>
            <w:hideMark/>
          </w:tcPr>
          <w:p w:rsidR="00E1499B" w:rsidRDefault="00E1499B">
            <w:pPr>
              <w:jc w:val="center"/>
              <w:rPr>
                <w:rFonts w:cs="Times New Roman"/>
                <w:szCs w:val="24"/>
              </w:rPr>
            </w:pPr>
            <w:r>
              <w:rPr>
                <w:rFonts w:cs="Times New Roman"/>
                <w:szCs w:val="24"/>
              </w:rPr>
              <w:t>Основні виявлені проблеми, пов’язані із проектом</w:t>
            </w:r>
          </w:p>
        </w:tc>
        <w:tc>
          <w:tcPr>
            <w:tcW w:w="4678" w:type="dxa"/>
            <w:tcBorders>
              <w:top w:val="single" w:sz="4" w:space="0" w:color="auto"/>
              <w:left w:val="single" w:sz="4" w:space="0" w:color="auto"/>
              <w:bottom w:val="single" w:sz="4" w:space="0" w:color="auto"/>
              <w:right w:val="single" w:sz="4" w:space="0" w:color="auto"/>
            </w:tcBorders>
            <w:hideMark/>
          </w:tcPr>
          <w:p w:rsidR="00E1499B" w:rsidRPr="002F6026" w:rsidRDefault="00E1499B">
            <w:pPr>
              <w:jc w:val="center"/>
              <w:rPr>
                <w:rFonts w:cs="Times New Roman"/>
                <w:szCs w:val="24"/>
              </w:rPr>
            </w:pPr>
            <w:r w:rsidRPr="002F6026">
              <w:rPr>
                <w:rFonts w:cs="Times New Roman"/>
                <w:iCs/>
                <w:shd w:val="clear" w:color="auto" w:fill="FFFFFF"/>
              </w:rPr>
              <w:t xml:space="preserve">Заходи, які передбачається розглянути для запобігання, зменшення та пом’якшення негативних наслідків </w:t>
            </w:r>
          </w:p>
        </w:tc>
      </w:tr>
      <w:tr w:rsidR="00E1499B" w:rsidTr="00E1499B">
        <w:tc>
          <w:tcPr>
            <w:tcW w:w="1951" w:type="dxa"/>
            <w:tcBorders>
              <w:top w:val="single" w:sz="4" w:space="0" w:color="auto"/>
              <w:left w:val="single" w:sz="4" w:space="0" w:color="auto"/>
              <w:bottom w:val="single" w:sz="4" w:space="0" w:color="auto"/>
              <w:right w:val="single" w:sz="4" w:space="0" w:color="auto"/>
            </w:tcBorders>
            <w:hideMark/>
          </w:tcPr>
          <w:p w:rsidR="00E1499B" w:rsidRDefault="00E1499B">
            <w:pPr>
              <w:tabs>
                <w:tab w:val="left" w:pos="0"/>
              </w:tabs>
              <w:jc w:val="center"/>
              <w:rPr>
                <w:rFonts w:cs="Times New Roman"/>
                <w:color w:val="323232"/>
                <w:szCs w:val="24"/>
                <w:shd w:val="clear" w:color="auto" w:fill="FFFFFF"/>
              </w:rPr>
            </w:pPr>
            <w:r>
              <w:rPr>
                <w:rFonts w:cs="Times New Roman"/>
                <w:color w:val="323232"/>
                <w:szCs w:val="24"/>
                <w:shd w:val="clear" w:color="auto" w:fill="FFFFFF"/>
              </w:rPr>
              <w:t>1</w:t>
            </w:r>
          </w:p>
        </w:tc>
        <w:tc>
          <w:tcPr>
            <w:tcW w:w="3260" w:type="dxa"/>
            <w:tcBorders>
              <w:top w:val="single" w:sz="4" w:space="0" w:color="auto"/>
              <w:left w:val="single" w:sz="4" w:space="0" w:color="auto"/>
              <w:bottom w:val="single" w:sz="4" w:space="0" w:color="auto"/>
              <w:right w:val="single" w:sz="4" w:space="0" w:color="auto"/>
            </w:tcBorders>
            <w:hideMark/>
          </w:tcPr>
          <w:p w:rsidR="00E1499B" w:rsidRDefault="00E1499B">
            <w:pPr>
              <w:tabs>
                <w:tab w:val="left" w:pos="0"/>
              </w:tabs>
              <w:jc w:val="center"/>
              <w:rPr>
                <w:rFonts w:cs="Times New Roman"/>
                <w:color w:val="323232"/>
                <w:szCs w:val="24"/>
                <w:shd w:val="clear" w:color="auto" w:fill="FFFFFF"/>
              </w:rPr>
            </w:pPr>
            <w:r>
              <w:rPr>
                <w:rFonts w:cs="Times New Roman"/>
                <w:color w:val="323232"/>
                <w:szCs w:val="24"/>
                <w:shd w:val="clear" w:color="auto" w:fill="FFFFFF"/>
              </w:rPr>
              <w:t>2</w:t>
            </w:r>
          </w:p>
        </w:tc>
        <w:tc>
          <w:tcPr>
            <w:tcW w:w="4678" w:type="dxa"/>
            <w:tcBorders>
              <w:top w:val="single" w:sz="4" w:space="0" w:color="auto"/>
              <w:left w:val="single" w:sz="4" w:space="0" w:color="auto"/>
              <w:bottom w:val="single" w:sz="4" w:space="0" w:color="auto"/>
              <w:right w:val="single" w:sz="4" w:space="0" w:color="auto"/>
            </w:tcBorders>
            <w:hideMark/>
          </w:tcPr>
          <w:p w:rsidR="00E1499B" w:rsidRDefault="00E1499B">
            <w:pPr>
              <w:tabs>
                <w:tab w:val="left" w:pos="0"/>
              </w:tabs>
              <w:jc w:val="center"/>
              <w:rPr>
                <w:rFonts w:cs="Times New Roman"/>
                <w:color w:val="323232"/>
                <w:szCs w:val="24"/>
                <w:shd w:val="clear" w:color="auto" w:fill="FFFFFF"/>
              </w:rPr>
            </w:pPr>
            <w:r>
              <w:rPr>
                <w:rFonts w:cs="Times New Roman"/>
                <w:color w:val="323232"/>
                <w:szCs w:val="24"/>
                <w:shd w:val="clear" w:color="auto" w:fill="FFFFFF"/>
              </w:rPr>
              <w:t>3</w:t>
            </w:r>
          </w:p>
        </w:tc>
      </w:tr>
      <w:tr w:rsidR="00E1499B" w:rsidTr="00E1499B">
        <w:tc>
          <w:tcPr>
            <w:tcW w:w="1951" w:type="dxa"/>
            <w:tcBorders>
              <w:top w:val="single" w:sz="4" w:space="0" w:color="auto"/>
              <w:left w:val="single" w:sz="4" w:space="0" w:color="auto"/>
              <w:bottom w:val="single" w:sz="4" w:space="0" w:color="auto"/>
              <w:right w:val="single" w:sz="4" w:space="0" w:color="auto"/>
            </w:tcBorders>
            <w:hideMark/>
          </w:tcPr>
          <w:p w:rsidR="00E1499B" w:rsidRDefault="00E1499B">
            <w:pPr>
              <w:jc w:val="center"/>
              <w:rPr>
                <w:rFonts w:cs="Times New Roman"/>
                <w:b/>
                <w:szCs w:val="24"/>
              </w:rPr>
            </w:pPr>
            <w:r>
              <w:rPr>
                <w:rFonts w:cs="Times New Roman"/>
                <w:b/>
                <w:szCs w:val="24"/>
              </w:rPr>
              <w:t>Атмосферне повітря</w:t>
            </w:r>
          </w:p>
        </w:tc>
        <w:tc>
          <w:tcPr>
            <w:tcW w:w="3260" w:type="dxa"/>
            <w:tcBorders>
              <w:top w:val="single" w:sz="4" w:space="0" w:color="auto"/>
              <w:left w:val="single" w:sz="4" w:space="0" w:color="auto"/>
              <w:bottom w:val="single" w:sz="4" w:space="0" w:color="auto"/>
              <w:right w:val="single" w:sz="4" w:space="0" w:color="auto"/>
            </w:tcBorders>
            <w:hideMark/>
          </w:tcPr>
          <w:p w:rsidR="00E1499B" w:rsidRPr="00A44598" w:rsidRDefault="002F6026" w:rsidP="00E1499B">
            <w:pPr>
              <w:tabs>
                <w:tab w:val="left" w:pos="709"/>
              </w:tabs>
              <w:jc w:val="both"/>
              <w:rPr>
                <w:rFonts w:cs="Times New Roman"/>
                <w:szCs w:val="24"/>
              </w:rPr>
            </w:pPr>
            <w:r>
              <w:rPr>
                <w:rFonts w:cs="Times New Roman"/>
                <w:szCs w:val="24"/>
              </w:rPr>
              <w:t>-п</w:t>
            </w:r>
            <w:r w:rsidR="00E1499B" w:rsidRPr="00A44598">
              <w:rPr>
                <w:rFonts w:cs="Times New Roman"/>
                <w:szCs w:val="24"/>
              </w:rPr>
              <w:t>ідвищеним потенціалом забруднення атмосферного повітря та несприятливими умовами розсіювання промислових викидів.</w:t>
            </w:r>
          </w:p>
          <w:p w:rsidR="00E1499B" w:rsidRPr="00E1499B" w:rsidRDefault="002F6026" w:rsidP="00E1499B">
            <w:pPr>
              <w:jc w:val="both"/>
              <w:rPr>
                <w:szCs w:val="24"/>
              </w:rPr>
            </w:pPr>
            <w:r>
              <w:rPr>
                <w:rFonts w:cs="Times New Roman"/>
                <w:szCs w:val="24"/>
              </w:rPr>
              <w:t>-д</w:t>
            </w:r>
            <w:r w:rsidR="00E1499B" w:rsidRPr="00A44598">
              <w:rPr>
                <w:rFonts w:cs="Times New Roman"/>
                <w:szCs w:val="24"/>
              </w:rPr>
              <w:t>жерелом забруднення виступає і автотранспорт, який в даній ситуації виступає постійним джерелом забруднення лінійно-векторного характеру.</w:t>
            </w:r>
          </w:p>
        </w:tc>
        <w:tc>
          <w:tcPr>
            <w:tcW w:w="4678" w:type="dxa"/>
            <w:tcBorders>
              <w:top w:val="single" w:sz="4" w:space="0" w:color="auto"/>
              <w:left w:val="single" w:sz="4" w:space="0" w:color="auto"/>
              <w:bottom w:val="single" w:sz="4" w:space="0" w:color="auto"/>
              <w:right w:val="single" w:sz="4" w:space="0" w:color="auto"/>
            </w:tcBorders>
            <w:hideMark/>
          </w:tcPr>
          <w:p w:rsidR="00E1499B" w:rsidRPr="00A44598" w:rsidRDefault="002F6026" w:rsidP="00E1499B">
            <w:pPr>
              <w:spacing w:after="0" w:line="360" w:lineRule="auto"/>
              <w:jc w:val="both"/>
              <w:rPr>
                <w:rFonts w:cs="Times New Roman"/>
                <w:szCs w:val="24"/>
              </w:rPr>
            </w:pPr>
            <w:r>
              <w:rPr>
                <w:rFonts w:cs="Times New Roman"/>
                <w:szCs w:val="24"/>
              </w:rPr>
              <w:t>-ш</w:t>
            </w:r>
            <w:r w:rsidR="00E1499B" w:rsidRPr="00A44598">
              <w:rPr>
                <w:rFonts w:cs="Times New Roman"/>
                <w:szCs w:val="24"/>
              </w:rPr>
              <w:t>ляхом покращення технології виробництва та планувальної організації території з доведенням контрольних показників до нормативних величин.</w:t>
            </w:r>
          </w:p>
          <w:p w:rsidR="00E1499B" w:rsidRDefault="00E1499B" w:rsidP="002F6026">
            <w:pPr>
              <w:spacing w:after="0" w:line="360" w:lineRule="auto"/>
              <w:jc w:val="both"/>
              <w:rPr>
                <w:rFonts w:cs="Times New Roman"/>
                <w:szCs w:val="24"/>
              </w:rPr>
            </w:pPr>
          </w:p>
        </w:tc>
      </w:tr>
      <w:tr w:rsidR="00E1499B" w:rsidRPr="00E1499B" w:rsidTr="00E1499B">
        <w:trPr>
          <w:trHeight w:val="1128"/>
        </w:trPr>
        <w:tc>
          <w:tcPr>
            <w:tcW w:w="1951" w:type="dxa"/>
            <w:tcBorders>
              <w:top w:val="single" w:sz="4" w:space="0" w:color="auto"/>
              <w:left w:val="single" w:sz="4" w:space="0" w:color="auto"/>
              <w:bottom w:val="single" w:sz="4" w:space="0" w:color="auto"/>
              <w:right w:val="single" w:sz="4" w:space="0" w:color="auto"/>
            </w:tcBorders>
            <w:hideMark/>
          </w:tcPr>
          <w:p w:rsidR="00E1499B" w:rsidRDefault="00E1499B">
            <w:pPr>
              <w:jc w:val="center"/>
              <w:rPr>
                <w:rFonts w:cs="Times New Roman"/>
                <w:b/>
                <w:szCs w:val="24"/>
              </w:rPr>
            </w:pPr>
            <w:r>
              <w:rPr>
                <w:rFonts w:cs="Times New Roman"/>
                <w:b/>
                <w:noProof/>
                <w:szCs w:val="24"/>
              </w:rPr>
              <w:t>Стан водного басейну</w:t>
            </w:r>
          </w:p>
        </w:tc>
        <w:tc>
          <w:tcPr>
            <w:tcW w:w="3260" w:type="dxa"/>
            <w:tcBorders>
              <w:top w:val="single" w:sz="4" w:space="0" w:color="auto"/>
              <w:left w:val="single" w:sz="4" w:space="0" w:color="auto"/>
              <w:bottom w:val="single" w:sz="4" w:space="0" w:color="auto"/>
              <w:right w:val="single" w:sz="4" w:space="0" w:color="auto"/>
            </w:tcBorders>
          </w:tcPr>
          <w:p w:rsidR="00E1499B" w:rsidRDefault="002F6026">
            <w:pPr>
              <w:tabs>
                <w:tab w:val="left" w:pos="426"/>
              </w:tabs>
              <w:jc w:val="both"/>
              <w:rPr>
                <w:rFonts w:cs="Times New Roman"/>
                <w:sz w:val="28"/>
                <w:szCs w:val="28"/>
              </w:rPr>
            </w:pPr>
            <w:r>
              <w:rPr>
                <w:rFonts w:cs="Times New Roman"/>
                <w:szCs w:val="24"/>
              </w:rPr>
              <w:t>-д</w:t>
            </w:r>
            <w:r w:rsidR="00E1499B" w:rsidRPr="005920FF">
              <w:rPr>
                <w:rFonts w:cs="Times New Roman"/>
                <w:szCs w:val="24"/>
              </w:rPr>
              <w:t>оочистка стічних вод, виходячи з прогнозу погіршення якості води у Дніпрі та погіршення процесів її самоочищення</w:t>
            </w:r>
          </w:p>
          <w:p w:rsidR="00E1499B" w:rsidRDefault="00E1499B">
            <w:pPr>
              <w:tabs>
                <w:tab w:val="left" w:pos="284"/>
              </w:tabs>
              <w:rPr>
                <w:rFonts w:cs="Times New Roman"/>
                <w:szCs w:val="24"/>
              </w:rPr>
            </w:pPr>
          </w:p>
        </w:tc>
        <w:tc>
          <w:tcPr>
            <w:tcW w:w="4678" w:type="dxa"/>
            <w:tcBorders>
              <w:top w:val="single" w:sz="4" w:space="0" w:color="auto"/>
              <w:left w:val="single" w:sz="4" w:space="0" w:color="auto"/>
              <w:bottom w:val="single" w:sz="4" w:space="0" w:color="auto"/>
              <w:right w:val="single" w:sz="4" w:space="0" w:color="auto"/>
            </w:tcBorders>
          </w:tcPr>
          <w:p w:rsidR="00E1499B" w:rsidRPr="005920FF" w:rsidRDefault="002F6026" w:rsidP="00E1499B">
            <w:pPr>
              <w:spacing w:after="160" w:line="360" w:lineRule="auto"/>
              <w:jc w:val="both"/>
              <w:rPr>
                <w:rFonts w:cs="Times New Roman"/>
                <w:szCs w:val="24"/>
              </w:rPr>
            </w:pPr>
            <w:r>
              <w:rPr>
                <w:rFonts w:cs="Times New Roman"/>
                <w:szCs w:val="24"/>
              </w:rPr>
              <w:t>-д</w:t>
            </w:r>
            <w:r w:rsidR="00E1499B" w:rsidRPr="005920FF">
              <w:rPr>
                <w:rFonts w:cs="Times New Roman"/>
                <w:szCs w:val="24"/>
              </w:rPr>
              <w:t>ля зменшення дії цих чинників пропонується проведення відповідних досліджень, розробка проектної документації та впровадження організаційно-технічних заходів.</w:t>
            </w:r>
          </w:p>
          <w:p w:rsidR="00E1499B" w:rsidRPr="00E1499B" w:rsidRDefault="00E1499B" w:rsidP="00E1499B">
            <w:pPr>
              <w:tabs>
                <w:tab w:val="left" w:pos="9355"/>
              </w:tabs>
              <w:spacing w:after="0" w:line="360" w:lineRule="auto"/>
              <w:ind w:right="-1"/>
              <w:jc w:val="both"/>
              <w:rPr>
                <w:rFonts w:cs="Times New Roman"/>
                <w:szCs w:val="24"/>
              </w:rPr>
            </w:pPr>
          </w:p>
        </w:tc>
      </w:tr>
      <w:tr w:rsidR="00E1499B" w:rsidRPr="00E1499B" w:rsidTr="00E1499B">
        <w:trPr>
          <w:trHeight w:val="818"/>
        </w:trPr>
        <w:tc>
          <w:tcPr>
            <w:tcW w:w="1951" w:type="dxa"/>
            <w:tcBorders>
              <w:top w:val="single" w:sz="4" w:space="0" w:color="auto"/>
              <w:left w:val="single" w:sz="4" w:space="0" w:color="auto"/>
              <w:bottom w:val="single" w:sz="4" w:space="0" w:color="auto"/>
              <w:right w:val="single" w:sz="4" w:space="0" w:color="auto"/>
            </w:tcBorders>
          </w:tcPr>
          <w:p w:rsidR="00E1499B" w:rsidRDefault="00E1499B">
            <w:pPr>
              <w:rPr>
                <w:b/>
                <w:szCs w:val="24"/>
              </w:rPr>
            </w:pPr>
            <w:r>
              <w:rPr>
                <w:b/>
                <w:szCs w:val="24"/>
              </w:rPr>
              <w:lastRenderedPageBreak/>
              <w:t xml:space="preserve"> Стан ґрунтів</w:t>
            </w:r>
          </w:p>
          <w:p w:rsidR="00E1499B" w:rsidRDefault="00E1499B">
            <w:pPr>
              <w:jc w:val="center"/>
              <w:rPr>
                <w:rFonts w:cs="Times New Roman"/>
                <w:noProof/>
                <w:szCs w:val="24"/>
              </w:rPr>
            </w:pPr>
          </w:p>
        </w:tc>
        <w:tc>
          <w:tcPr>
            <w:tcW w:w="3260" w:type="dxa"/>
            <w:tcBorders>
              <w:top w:val="single" w:sz="4" w:space="0" w:color="auto"/>
              <w:left w:val="single" w:sz="4" w:space="0" w:color="auto"/>
              <w:bottom w:val="single" w:sz="4" w:space="0" w:color="auto"/>
              <w:right w:val="single" w:sz="4" w:space="0" w:color="auto"/>
            </w:tcBorders>
          </w:tcPr>
          <w:p w:rsidR="00E1499B" w:rsidRPr="005920FF" w:rsidRDefault="002F6026" w:rsidP="00E1499B">
            <w:pPr>
              <w:spacing w:after="160" w:line="360" w:lineRule="auto"/>
              <w:jc w:val="both"/>
              <w:rPr>
                <w:rFonts w:cs="Times New Roman"/>
                <w:szCs w:val="24"/>
              </w:rPr>
            </w:pPr>
            <w:r>
              <w:rPr>
                <w:rFonts w:cs="Times New Roman"/>
                <w:szCs w:val="24"/>
              </w:rPr>
              <w:t>-з</w:t>
            </w:r>
            <w:r w:rsidR="00E1499B" w:rsidRPr="005920FF">
              <w:rPr>
                <w:rFonts w:cs="Times New Roman"/>
                <w:szCs w:val="24"/>
              </w:rPr>
              <w:t xml:space="preserve">емельні ресурси зазначають негативного впливу від накопичень побутових відходів, значна частина яких могла б знайти застосування як вторинна сировина. </w:t>
            </w:r>
          </w:p>
          <w:p w:rsidR="00E1499B" w:rsidRDefault="00E1499B" w:rsidP="00E1499B">
            <w:pPr>
              <w:tabs>
                <w:tab w:val="left" w:pos="284"/>
              </w:tabs>
              <w:rPr>
                <w:rFonts w:cs="Times New Roman"/>
                <w:noProof/>
                <w:szCs w:val="24"/>
              </w:rPr>
            </w:pPr>
          </w:p>
          <w:p w:rsidR="00E1499B" w:rsidRDefault="00E1499B">
            <w:pPr>
              <w:tabs>
                <w:tab w:val="left" w:pos="284"/>
              </w:tabs>
              <w:rPr>
                <w:rFonts w:cs="Times New Roman"/>
                <w:noProof/>
                <w:szCs w:val="24"/>
              </w:rPr>
            </w:pPr>
          </w:p>
          <w:p w:rsidR="00E1499B" w:rsidRDefault="00E1499B">
            <w:pPr>
              <w:tabs>
                <w:tab w:val="left" w:pos="284"/>
              </w:tabs>
              <w:rPr>
                <w:rFonts w:cs="Times New Roman"/>
                <w:szCs w:val="24"/>
              </w:rPr>
            </w:pPr>
          </w:p>
        </w:tc>
        <w:tc>
          <w:tcPr>
            <w:tcW w:w="4678" w:type="dxa"/>
            <w:tcBorders>
              <w:top w:val="single" w:sz="4" w:space="0" w:color="auto"/>
              <w:left w:val="single" w:sz="4" w:space="0" w:color="auto"/>
              <w:bottom w:val="single" w:sz="4" w:space="0" w:color="auto"/>
              <w:right w:val="single" w:sz="4" w:space="0" w:color="auto"/>
            </w:tcBorders>
          </w:tcPr>
          <w:p w:rsidR="00E1499B" w:rsidRDefault="002F6026" w:rsidP="00E1499B">
            <w:pPr>
              <w:jc w:val="both"/>
              <w:rPr>
                <w:rFonts w:cs="Times New Roman"/>
                <w:szCs w:val="24"/>
              </w:rPr>
            </w:pPr>
            <w:r>
              <w:rPr>
                <w:rFonts w:cs="Times New Roman"/>
                <w:szCs w:val="24"/>
              </w:rPr>
              <w:t>-н</w:t>
            </w:r>
            <w:r w:rsidR="00E1499B" w:rsidRPr="005920FF">
              <w:rPr>
                <w:rFonts w:cs="Times New Roman"/>
                <w:szCs w:val="24"/>
              </w:rPr>
              <w:t>еобхідно розробка спеціалізованої схеми санітарного очищення з уточненням першочергових та перспективних заходів, поліпшення екологічного та санітарного стану території, скорочення об'ємів</w:t>
            </w:r>
          </w:p>
          <w:p w:rsidR="00E1499B" w:rsidRDefault="00E1499B">
            <w:pPr>
              <w:shd w:val="clear" w:color="auto" w:fill="FFFFFF"/>
              <w:jc w:val="both"/>
              <w:rPr>
                <w:color w:val="0D0D0D"/>
                <w:szCs w:val="24"/>
                <w:lang w:eastAsia="ru-RU"/>
              </w:rPr>
            </w:pPr>
          </w:p>
          <w:p w:rsidR="00E1499B" w:rsidRDefault="00E1499B">
            <w:pPr>
              <w:keepNext/>
              <w:ind w:left="720"/>
              <w:contextualSpacing/>
              <w:jc w:val="both"/>
              <w:rPr>
                <w:rFonts w:cs="Times New Roman"/>
                <w:szCs w:val="24"/>
              </w:rPr>
            </w:pPr>
          </w:p>
        </w:tc>
      </w:tr>
      <w:tr w:rsidR="00E1499B" w:rsidTr="00E1499B">
        <w:trPr>
          <w:trHeight w:val="1146"/>
        </w:trPr>
        <w:tc>
          <w:tcPr>
            <w:tcW w:w="1951" w:type="dxa"/>
            <w:tcBorders>
              <w:top w:val="single" w:sz="4" w:space="0" w:color="auto"/>
              <w:left w:val="single" w:sz="4" w:space="0" w:color="auto"/>
              <w:bottom w:val="single" w:sz="4" w:space="0" w:color="auto"/>
              <w:right w:val="single" w:sz="4" w:space="0" w:color="auto"/>
            </w:tcBorders>
          </w:tcPr>
          <w:p w:rsidR="00E1499B" w:rsidRDefault="00E1499B">
            <w:pPr>
              <w:jc w:val="center"/>
              <w:rPr>
                <w:rFonts w:cs="Times New Roman"/>
                <w:b/>
                <w:szCs w:val="24"/>
              </w:rPr>
            </w:pPr>
            <w:r>
              <w:rPr>
                <w:b/>
                <w:color w:val="0D0D0D" w:themeColor="text1" w:themeTint="F2"/>
                <w:szCs w:val="24"/>
              </w:rPr>
              <w:t>Акустичний режим</w:t>
            </w:r>
          </w:p>
          <w:p w:rsidR="00E1499B" w:rsidRDefault="00E1499B">
            <w:pPr>
              <w:jc w:val="center"/>
              <w:rPr>
                <w:szCs w:val="24"/>
              </w:rPr>
            </w:pPr>
          </w:p>
        </w:tc>
        <w:tc>
          <w:tcPr>
            <w:tcW w:w="3260" w:type="dxa"/>
            <w:tcBorders>
              <w:top w:val="single" w:sz="4" w:space="0" w:color="auto"/>
              <w:left w:val="single" w:sz="4" w:space="0" w:color="auto"/>
              <w:bottom w:val="single" w:sz="4" w:space="0" w:color="auto"/>
              <w:right w:val="single" w:sz="4" w:space="0" w:color="auto"/>
            </w:tcBorders>
            <w:hideMark/>
          </w:tcPr>
          <w:p w:rsidR="00E1499B" w:rsidRDefault="002F6026">
            <w:pPr>
              <w:rPr>
                <w:color w:val="0D0D0D"/>
                <w:szCs w:val="24"/>
                <w:lang w:eastAsia="ru-RU"/>
              </w:rPr>
            </w:pPr>
            <w:r>
              <w:rPr>
                <w:color w:val="0D0D0D" w:themeColor="text1" w:themeTint="F2"/>
                <w:szCs w:val="24"/>
              </w:rPr>
              <w:t>-ш</w:t>
            </w:r>
            <w:r w:rsidR="00E1499B">
              <w:rPr>
                <w:color w:val="0D0D0D" w:themeColor="text1" w:themeTint="F2"/>
                <w:szCs w:val="24"/>
              </w:rPr>
              <w:t>уми від проїзду автомобільного транспорту.</w:t>
            </w:r>
          </w:p>
        </w:tc>
        <w:tc>
          <w:tcPr>
            <w:tcW w:w="4678" w:type="dxa"/>
            <w:tcBorders>
              <w:top w:val="single" w:sz="4" w:space="0" w:color="auto"/>
              <w:left w:val="single" w:sz="4" w:space="0" w:color="auto"/>
              <w:bottom w:val="single" w:sz="4" w:space="0" w:color="auto"/>
              <w:right w:val="single" w:sz="4" w:space="0" w:color="auto"/>
            </w:tcBorders>
          </w:tcPr>
          <w:p w:rsidR="00E1499B" w:rsidRDefault="002F6026">
            <w:pPr>
              <w:tabs>
                <w:tab w:val="left" w:pos="318"/>
              </w:tabs>
              <w:rPr>
                <w:rFonts w:cs="Times New Roman"/>
                <w:szCs w:val="24"/>
              </w:rPr>
            </w:pPr>
            <w:r>
              <w:rPr>
                <w:rFonts w:cs="Times New Roman"/>
                <w:szCs w:val="24"/>
              </w:rPr>
              <w:t>-в</w:t>
            </w:r>
            <w:r w:rsidR="00E1499B">
              <w:rPr>
                <w:rFonts w:cs="Times New Roman"/>
                <w:szCs w:val="24"/>
              </w:rPr>
              <w:t>инесення джерел акустичного забруднення за межі садибної території;</w:t>
            </w:r>
          </w:p>
          <w:p w:rsidR="00E1499B" w:rsidRDefault="002F6026">
            <w:pPr>
              <w:tabs>
                <w:tab w:val="left" w:pos="318"/>
              </w:tabs>
              <w:rPr>
                <w:rFonts w:cs="Times New Roman"/>
                <w:szCs w:val="24"/>
              </w:rPr>
            </w:pPr>
            <w:r>
              <w:rPr>
                <w:rFonts w:cs="Times New Roman"/>
                <w:szCs w:val="24"/>
              </w:rPr>
              <w:t>-в</w:t>
            </w:r>
            <w:r w:rsidR="00E1499B">
              <w:rPr>
                <w:rFonts w:cs="Times New Roman"/>
                <w:szCs w:val="24"/>
              </w:rPr>
              <w:t>становлення санітарних зон;</w:t>
            </w:r>
          </w:p>
          <w:p w:rsidR="00E1499B" w:rsidRDefault="002F6026">
            <w:pPr>
              <w:tabs>
                <w:tab w:val="left" w:pos="318"/>
              </w:tabs>
              <w:rPr>
                <w:rFonts w:cs="Times New Roman"/>
                <w:szCs w:val="24"/>
              </w:rPr>
            </w:pPr>
            <w:r>
              <w:rPr>
                <w:rFonts w:cs="Times New Roman"/>
                <w:szCs w:val="24"/>
              </w:rPr>
              <w:t>-створення системи</w:t>
            </w:r>
            <w:r w:rsidR="00E1499B">
              <w:rPr>
                <w:rFonts w:cs="Times New Roman"/>
                <w:szCs w:val="24"/>
              </w:rPr>
              <w:t xml:space="preserve"> організації руху та реконструкція вуличної мережі;</w:t>
            </w:r>
          </w:p>
          <w:p w:rsidR="00E1499B" w:rsidRDefault="002F6026">
            <w:pPr>
              <w:tabs>
                <w:tab w:val="left" w:pos="318"/>
              </w:tabs>
              <w:rPr>
                <w:rFonts w:cs="Times New Roman"/>
                <w:szCs w:val="24"/>
              </w:rPr>
            </w:pPr>
            <w:r>
              <w:rPr>
                <w:rFonts w:cs="Times New Roman"/>
                <w:szCs w:val="24"/>
              </w:rPr>
              <w:t>-с</w:t>
            </w:r>
            <w:r w:rsidR="00E1499B">
              <w:rPr>
                <w:rFonts w:cs="Times New Roman"/>
                <w:szCs w:val="24"/>
              </w:rPr>
              <w:t>муги зелених насаджень;</w:t>
            </w:r>
          </w:p>
          <w:p w:rsidR="00E1499B" w:rsidRDefault="002F6026">
            <w:pPr>
              <w:tabs>
                <w:tab w:val="left" w:pos="318"/>
              </w:tabs>
              <w:rPr>
                <w:rFonts w:cs="Times New Roman"/>
                <w:szCs w:val="24"/>
              </w:rPr>
            </w:pPr>
            <w:r>
              <w:t>-в</w:t>
            </w:r>
            <w:r w:rsidR="00E1499B">
              <w:t>икористання сучасного низько-шумного технологічного та енергетичного обладнання.</w:t>
            </w:r>
          </w:p>
          <w:p w:rsidR="00E1499B" w:rsidRDefault="00E1499B">
            <w:pPr>
              <w:keepNext/>
              <w:rPr>
                <w:color w:val="0D0D0D"/>
                <w:szCs w:val="24"/>
                <w:lang w:eastAsia="ru-RU"/>
              </w:rPr>
            </w:pPr>
          </w:p>
        </w:tc>
      </w:tr>
    </w:tbl>
    <w:p w:rsidR="00E1499B" w:rsidRDefault="00E1499B" w:rsidP="00E1499B">
      <w:pPr>
        <w:spacing w:after="0" w:line="240" w:lineRule="auto"/>
        <w:rPr>
          <w:rFonts w:ascii="Times New Roman" w:hAnsi="Times New Roman" w:cs="Times New Roman"/>
          <w:b/>
          <w:sz w:val="24"/>
          <w:szCs w:val="24"/>
          <w:u w:val="single"/>
        </w:rPr>
      </w:pPr>
    </w:p>
    <w:p w:rsidR="00E1499B" w:rsidRDefault="00E1499B" w:rsidP="00E1499B">
      <w:pPr>
        <w:numPr>
          <w:ilvl w:val="0"/>
          <w:numId w:val="2"/>
        </w:numPr>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t>Виконання СЕО передбачає:</w:t>
      </w:r>
    </w:p>
    <w:p w:rsidR="00E1499B" w:rsidRDefault="00E1499B" w:rsidP="00E1499B">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1) ймовірні наслідки для довкілля, у тому числі для здоров’я населення:</w:t>
      </w:r>
    </w:p>
    <w:p w:rsidR="00E1499B" w:rsidRDefault="00E1499B" w:rsidP="00E1499B">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стан атмосферного повітря, який залежить від обсягів забруднюючих речовин стаціонарними та пересувними джерелами забруднення;</w:t>
      </w:r>
    </w:p>
    <w:p w:rsidR="00E1499B" w:rsidRDefault="00E1499B" w:rsidP="00E149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забруднення  водотоків поверхневим стоком, який формується на території приватного сектору та виробничих майданчиках;</w:t>
      </w:r>
    </w:p>
    <w:p w:rsidR="00E1499B" w:rsidRDefault="00E1499B" w:rsidP="00E149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неорганізоване потрапляння стічних стоків до водних об’єктів; </w:t>
      </w:r>
    </w:p>
    <w:p w:rsidR="00E1499B" w:rsidRDefault="00E1499B" w:rsidP="00E149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санітарний стан узбережжя водних об’єктів в межах населеного пункту, неналежний стан утримання територій прибережних захисних смуг;</w:t>
      </w:r>
    </w:p>
    <w:p w:rsidR="00E1499B" w:rsidRDefault="00E1499B" w:rsidP="00E1499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забруднення зон ґрунтового покриву під впливом діяльності автотранспорту, залізничної дороги, виробничої території (4,5 класу), де може фіксуватися перевищення ГДК (гранично допустима концентрація) по вмісту важких металів; </w:t>
      </w:r>
    </w:p>
    <w:p w:rsidR="00E1499B" w:rsidRDefault="00E1499B" w:rsidP="00E1499B">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2) ймовірні наслідки для території з природоохоронним статусом:</w:t>
      </w:r>
    </w:p>
    <w:p w:rsidR="00E1499B" w:rsidRDefault="00E1499B" w:rsidP="00E1499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негативний вплив на земельні ресурси від накопичень побутових ві</w:t>
      </w:r>
      <w:r w:rsidR="00431905">
        <w:rPr>
          <w:rFonts w:ascii="Times New Roman" w:hAnsi="Times New Roman" w:cs="Times New Roman"/>
          <w:sz w:val="28"/>
          <w:szCs w:val="28"/>
        </w:rPr>
        <w:t xml:space="preserve">дходів на території </w:t>
      </w:r>
      <w:r w:rsidR="004D02E3" w:rsidRPr="004D02E3">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ascii="Times New Roman" w:hAnsi="Times New Roman" w:cs="Times New Roman"/>
          <w:sz w:val="28"/>
          <w:szCs w:val="28"/>
        </w:rPr>
        <w:t xml:space="preserve">через не організовану систему санітарного очищення та відсутність паспортизованого полігону; </w:t>
      </w:r>
    </w:p>
    <w:p w:rsidR="00E1499B" w:rsidRDefault="00E1499B" w:rsidP="00E149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розміщення кладовищ традиційного поховання, які виступають потенційним джерелом забруднення ґрунтів;</w:t>
      </w:r>
    </w:p>
    <w:p w:rsidR="00E1499B" w:rsidRDefault="00E1499B" w:rsidP="00E149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шумове забруднення, яке припадає на вуличну мережу з інтенсивним рухом автотранспорту та залізничних колій; </w:t>
      </w:r>
    </w:p>
    <w:p w:rsidR="00E1499B" w:rsidRDefault="00E1499B" w:rsidP="00E149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радіаційний фон території; </w:t>
      </w:r>
    </w:p>
    <w:p w:rsidR="00E1499B" w:rsidRDefault="00E1499B" w:rsidP="00E1499B">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транспортні наслідки на довкілля та на здоров’я населення.</w:t>
      </w:r>
    </w:p>
    <w:p w:rsidR="00E1499B" w:rsidRDefault="00E1499B" w:rsidP="00E1499B">
      <w:pPr>
        <w:tabs>
          <w:tab w:val="left" w:pos="28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3)ймовірні транскордонні наслідки для довкілля:</w:t>
      </w:r>
    </w:p>
    <w:p w:rsidR="00E1499B" w:rsidRDefault="00E1499B" w:rsidP="00E1499B">
      <w:pPr>
        <w:tabs>
          <w:tab w:val="left" w:pos="28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-транскордонні наслідки для довкілля відсутні. </w:t>
      </w:r>
    </w:p>
    <w:p w:rsidR="00E1499B" w:rsidRDefault="00E1499B" w:rsidP="00E1499B">
      <w:pPr>
        <w:tabs>
          <w:tab w:val="left" w:pos="284"/>
        </w:tabs>
        <w:spacing w:after="0" w:line="240" w:lineRule="auto"/>
        <w:jc w:val="both"/>
        <w:rPr>
          <w:rFonts w:ascii="Times New Roman" w:hAnsi="Times New Roman" w:cs="Times New Roman"/>
          <w:sz w:val="28"/>
          <w:szCs w:val="28"/>
        </w:rPr>
      </w:pPr>
    </w:p>
    <w:p w:rsidR="00E1499B" w:rsidRDefault="00E1499B" w:rsidP="00E1499B">
      <w:pPr>
        <w:tabs>
          <w:tab w:val="left" w:pos="709"/>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5. Розгляд альтернатив</w:t>
      </w:r>
    </w:p>
    <w:p w:rsidR="00E1499B" w:rsidRDefault="00E1499B" w:rsidP="00E1499B">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2F6026" w:rsidRDefault="00E1499B" w:rsidP="00E1499B">
      <w:pPr>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контексті СЕО проекту генерального плану села Сомкова Долина Переяслав-Хмельницького району Київської області з розгляду альтернативних проектних рішень та їх екологічних наслідків передбачається розглянути перспективу впровадження проектних змін необхідністю розвитку житлової, громадської забудови, промислово-виробничих ділянок різних галузей господарського комплексу, транспортної мережі, залізничних колій, головних споруд та інженерних мереж.</w:t>
      </w:r>
    </w:p>
    <w:p w:rsidR="00E1499B" w:rsidRDefault="00E1499B" w:rsidP="00E1499B">
      <w:pPr>
        <w:tabs>
          <w:tab w:val="left" w:pos="709"/>
        </w:tabs>
        <w:spacing w:after="0" w:line="240" w:lineRule="auto"/>
        <w:ind w:firstLine="709"/>
        <w:jc w:val="both"/>
      </w:pPr>
      <w:r>
        <w:t xml:space="preserve"> </w:t>
      </w:r>
    </w:p>
    <w:p w:rsidR="00E1499B" w:rsidRDefault="00E1499B" w:rsidP="00E1499B">
      <w:pPr>
        <w:numPr>
          <w:ilvl w:val="0"/>
          <w:numId w:val="3"/>
        </w:numPr>
        <w:tabs>
          <w:tab w:val="left" w:pos="0"/>
        </w:tabs>
        <w:spacing w:after="0" w:line="240" w:lineRule="auto"/>
        <w:contextualSpacing/>
        <w:jc w:val="both"/>
        <w:rPr>
          <w:rFonts w:ascii="Times New Roman" w:hAnsi="Times New Roman" w:cs="Times New Roman"/>
          <w:b/>
          <w:color w:val="000000"/>
          <w:sz w:val="28"/>
          <w:szCs w:val="28"/>
        </w:rPr>
      </w:pPr>
      <w:r>
        <w:rPr>
          <w:rFonts w:ascii="Times New Roman" w:hAnsi="Times New Roman" w:cs="Times New Roman"/>
          <w:b/>
          <w:sz w:val="28"/>
          <w:szCs w:val="28"/>
        </w:rPr>
        <w:t>Дослідження, які необхідно провести, методи і критерії, що використовуватимуться під час стратегічної екологічної оцінки</w:t>
      </w:r>
    </w:p>
    <w:p w:rsidR="00E1499B" w:rsidRDefault="00E1499B" w:rsidP="00E1499B">
      <w:pPr>
        <w:spacing w:after="0" w:line="240" w:lineRule="auto"/>
        <w:ind w:firstLine="360"/>
        <w:contextualSpacing/>
        <w:jc w:val="both"/>
        <w:rPr>
          <w:rFonts w:ascii="Times New Roman" w:hAnsi="Times New Roman" w:cs="Times New Roman"/>
          <w:sz w:val="28"/>
          <w:szCs w:val="28"/>
        </w:rPr>
      </w:pPr>
    </w:p>
    <w:p w:rsidR="00E1499B" w:rsidRDefault="00E1499B" w:rsidP="00E1499B">
      <w:pPr>
        <w:spacing w:after="0" w:line="240" w:lineRule="auto"/>
        <w:ind w:firstLine="360"/>
        <w:contextualSpacing/>
        <w:jc w:val="both"/>
        <w:rPr>
          <w:rFonts w:ascii="Times New Roman" w:hAnsi="Times New Roman" w:cs="Times New Roman"/>
          <w:sz w:val="28"/>
          <w:szCs w:val="28"/>
        </w:rPr>
      </w:pPr>
      <w:r>
        <w:rPr>
          <w:rFonts w:ascii="Times New Roman" w:hAnsi="Times New Roman" w:cs="Times New Roman"/>
          <w:sz w:val="28"/>
          <w:szCs w:val="28"/>
        </w:rPr>
        <w:t>Проведення стратегічної екологічної оцінки Проекту відбуватиметься у відповідності до Закону України «Про стратегічну екологічну оцінку» з використанням Методичних рекомендацій із здійснення стратегічної екологічної оцінки документів державного планування (Наказ Міністерства екології та природних ресурсів України № 296 від 10.08.2018р.). Інші, додаткові дослідження не передбачаються.</w:t>
      </w:r>
    </w:p>
    <w:p w:rsidR="00E1499B" w:rsidRDefault="00E1499B" w:rsidP="00E1499B">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Основною метою прогнозу є оцінка можливої реакції навколишнього природного середовища на прямий чи опосередкований вплив людини, вирішення задач раціонального природокористування у відповідності з очікуваним станом природного середовища. Всі методи прогнозування об'єднують у дві групи: логічні і формалізовані. </w:t>
      </w:r>
    </w:p>
    <w:p w:rsidR="00E1499B" w:rsidRDefault="00E1499B" w:rsidP="00E1499B">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До логічних методів відносять методи індукції, дедукції, експертних оцінок, аналогії. При відсутності про об'єкт прогнозування достовірних відомостей і, якщо об'єкт не підлягає математичному аналізу, використовують метод експертних оцінок, суть якого полягає у визначені майбутнього на основі думок кваліфікованих спеціалістів-експертів.  Метод аналогій полягає в тому, що закономірності розвитку одного процесу з певними поправками можна перенести на інший процес, для якого потрібно зробити прогноз.</w:t>
      </w:r>
    </w:p>
    <w:p w:rsidR="00E1499B" w:rsidRDefault="00E1499B" w:rsidP="00E1499B">
      <w:pPr>
        <w:tabs>
          <w:tab w:val="left" w:pos="0"/>
        </w:tabs>
        <w:spacing w:after="0" w:line="240" w:lineRule="auto"/>
        <w:jc w:val="both"/>
        <w:rPr>
          <w:rFonts w:ascii="Times New Roman" w:hAnsi="Times New Roman" w:cs="Times New Roman"/>
          <w:b/>
          <w:color w:val="000000"/>
          <w:sz w:val="28"/>
          <w:szCs w:val="28"/>
          <w:u w:val="single"/>
        </w:rPr>
      </w:pPr>
      <w:r>
        <w:rPr>
          <w:rFonts w:ascii="Times New Roman" w:hAnsi="Times New Roman" w:cs="Times New Roman"/>
          <w:sz w:val="28"/>
          <w:szCs w:val="28"/>
        </w:rPr>
        <w:tab/>
        <w:t xml:space="preserve">Формалізовані методи поділяють на статистичний, екстраполяції і моделювання. Статистичний метод ґрунтується на кількісних показниках, які дають можливість зробити висновок про темпи розвитку процесу в майбутньому. Сутність його полягає в отриманні і спеціалізованому обробленні прогнозних оцінок об'єкта через опитування </w:t>
      </w:r>
      <w:r>
        <w:rPr>
          <w:rFonts w:ascii="Times New Roman" w:hAnsi="Times New Roman" w:cs="Times New Roman"/>
          <w:sz w:val="28"/>
          <w:szCs w:val="28"/>
        </w:rPr>
        <w:lastRenderedPageBreak/>
        <w:t>висококваліфікованих фахівців (експертів) у певній сфері науки, техніки, виробництва. Метод екстраполяції полягає в перенесенні встановленого характеру розвитку певної території чи процесу в майбутнє. Цей метод ефективний при короткостроковому прогнозуванні стосовно об'єкта, який тривалий час розвивався рівномірно без значних відхилень. Ґрунтується він на вивченні кількісних і якісних параметрів досліджуваного об'єкта за попередні роки з подальшим логічним продовженням, окресленням тенденцій його розвитку у прогнозованому періоді. Метод моделювання полягає у побудові моделей, які розглядають з урахуванням імовірної або бажаної зміни прогнозованого явища на певний період, користуючись прямими або опосередкованими даними про масштаби та напрями змін. При побудові прогнозних моделей необхідно виявити фактори, від яких суттєво залежить прогноз, з’ясувати їх співвідношення з прогнозованим явищем, розробити алгоритм і програми моделювання змін довкілля під дією певних факторів.</w:t>
      </w:r>
    </w:p>
    <w:p w:rsidR="00E1499B" w:rsidRDefault="00E1499B" w:rsidP="00E1499B">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Для здійснення стратегічної екологічної оцінки будуть використовуватись вищевказані методи, зокрема буде здійснено:</w:t>
      </w:r>
    </w:p>
    <w:p w:rsidR="00E1499B" w:rsidRDefault="00E1499B" w:rsidP="00E1499B">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збір та аналіз інформації про поточний стан складових довкілля, включаючи значення ключових екологічних показників;</w:t>
      </w:r>
    </w:p>
    <w:p w:rsidR="00E1499B" w:rsidRDefault="00E1499B" w:rsidP="00E1499B">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проведення аналізу слабких та сильних сторін Проекту з точки зору екологічної ситуації, </w:t>
      </w:r>
      <w:r>
        <w:rPr>
          <w:rFonts w:ascii="Times New Roman" w:hAnsi="Times New Roman" w:cs="Times New Roman"/>
          <w:sz w:val="28"/>
          <w:szCs w:val="28"/>
          <w:lang w:val="en-US"/>
        </w:rPr>
        <w:t>SWOT</w:t>
      </w:r>
      <w:r>
        <w:rPr>
          <w:rFonts w:ascii="Times New Roman" w:hAnsi="Times New Roman" w:cs="Times New Roman"/>
          <w:sz w:val="28"/>
          <w:szCs w:val="28"/>
        </w:rPr>
        <w:t>-аналіз;</w:t>
      </w:r>
    </w:p>
    <w:p w:rsidR="00E1499B" w:rsidRDefault="00E1499B" w:rsidP="00E1499B">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проведення консультацій з громадськістю щодо екологічних цілей;</w:t>
      </w:r>
    </w:p>
    <w:p w:rsidR="00E1499B" w:rsidRDefault="00E1499B" w:rsidP="00E1499B">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визначення можливих чинників змін антропогенного та природного характеру;</w:t>
      </w:r>
    </w:p>
    <w:p w:rsidR="00E1499B" w:rsidRDefault="00E1499B" w:rsidP="00E1499B">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проведення оцінки впливу Проекту на складові довкілля та на стан здоров’я й добробут населення;</w:t>
      </w:r>
    </w:p>
    <w:p w:rsidR="00E1499B" w:rsidRDefault="00E1499B" w:rsidP="00E1499B">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моніторинг фактичного впливу впровадження Проекту на довкілля.</w:t>
      </w:r>
    </w:p>
    <w:p w:rsidR="00E1499B" w:rsidRDefault="00E1499B" w:rsidP="00E1499B">
      <w:pPr>
        <w:tabs>
          <w:tab w:val="left" w:pos="993"/>
        </w:tabs>
        <w:spacing w:after="0" w:line="240" w:lineRule="auto"/>
        <w:ind w:firstLine="709"/>
        <w:contextualSpacing/>
        <w:jc w:val="both"/>
        <w:rPr>
          <w:rFonts w:ascii="Times New Roman" w:hAnsi="Times New Roman" w:cs="Times New Roman"/>
          <w:sz w:val="28"/>
          <w:szCs w:val="28"/>
        </w:rPr>
      </w:pPr>
    </w:p>
    <w:p w:rsidR="00E1499B" w:rsidRPr="002F6026" w:rsidRDefault="00E1499B" w:rsidP="002F6026">
      <w:pPr>
        <w:pStyle w:val="a8"/>
        <w:numPr>
          <w:ilvl w:val="0"/>
          <w:numId w:val="3"/>
        </w:numPr>
        <w:tabs>
          <w:tab w:val="left" w:pos="284"/>
          <w:tab w:val="left" w:pos="993"/>
        </w:tabs>
        <w:spacing w:after="0" w:line="240" w:lineRule="auto"/>
        <w:jc w:val="both"/>
        <w:rPr>
          <w:rFonts w:ascii="Times New Roman" w:hAnsi="Times New Roman" w:cs="Times New Roman"/>
          <w:b/>
          <w:sz w:val="28"/>
          <w:szCs w:val="28"/>
        </w:rPr>
      </w:pPr>
      <w:r w:rsidRPr="002F6026">
        <w:rPr>
          <w:rFonts w:ascii="Times New Roman" w:hAnsi="Times New Roman" w:cs="Times New Roman"/>
          <w:b/>
          <w:sz w:val="28"/>
          <w:szCs w:val="28"/>
        </w:rPr>
        <w:t>Заходи, які передбачається розглянути для запобігання, зменшення та пом’якшення негативних наслідків виконання документа державного планування.</w:t>
      </w:r>
    </w:p>
    <w:p w:rsidR="00E1499B" w:rsidRDefault="00E1499B" w:rsidP="00E1499B">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p>
    <w:p w:rsidR="00E1499B" w:rsidRDefault="00E1499B" w:rsidP="00E1499B">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Під час здійснення стратегічної екологічної оцінки передбачається розглядати заходи із запобігання, зменшення та пом’якшення негативних наслідків на довкілля, визначені законодавством та нормативно-правовими актами.</w:t>
      </w:r>
    </w:p>
    <w:p w:rsidR="00E1499B" w:rsidRDefault="00E1499B" w:rsidP="00E1499B">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 Закон України «Про охорону навколишнього природного середовища», визначає загальні вимоги в галузі охорони навколишнього середовища при розміщенні, проектуванні, будівництві, введенні в експлуатацію, експлуатації, консервації, споруд та інших об’єктів. </w:t>
      </w:r>
    </w:p>
    <w:p w:rsidR="00E1499B" w:rsidRDefault="00E1499B" w:rsidP="00E1499B">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Законом встановлено, що використання природних ресурсів громадянами, підприємствами, установами та організаціями здійснюється з додержанням обов’язкових екологічних вимог:</w:t>
      </w:r>
    </w:p>
    <w:p w:rsidR="00E1499B" w:rsidRDefault="00E1499B" w:rsidP="00E1499B">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Раціонального і економного використання природних ресурсів на основі широкого застосування новітніх технологій;</w:t>
      </w:r>
    </w:p>
    <w:p w:rsidR="00E1499B" w:rsidRDefault="00E1499B" w:rsidP="00E1499B">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 Здійснення заходів щодо запобігання псуванню, забрудненню, виснаженню природних ресурсів, негативному впливу на стан навколишнього природного середовища;</w:t>
      </w:r>
    </w:p>
    <w:p w:rsidR="00E1499B" w:rsidRDefault="00E1499B" w:rsidP="00E1499B">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Здійснення заходів щодо відтворення відновлюваних природних ресурсів;</w:t>
      </w:r>
    </w:p>
    <w:p w:rsidR="00E1499B" w:rsidRDefault="00E1499B" w:rsidP="00E1499B">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Застосування біологічних, хімічних та інших методів поліпшення якості природних ресурсів, які забезпечують охорону навколишнього природного середовища і безпеку здоров’я населення;</w:t>
      </w:r>
    </w:p>
    <w:p w:rsidR="00E1499B" w:rsidRDefault="00E1499B" w:rsidP="00E1499B">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Здійснення господарської та іншої діяльності без порушення екологічних прав інших осіб;</w:t>
      </w:r>
    </w:p>
    <w:p w:rsidR="00E1499B" w:rsidRDefault="00E1499B" w:rsidP="00E1499B">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Здійснення заходів щодо збереження і невиснажливого використання біологічного різноманіття під час провадження діяльності, пов’язаної з поводженням з генетично модифікованими організмами.</w:t>
      </w:r>
    </w:p>
    <w:p w:rsidR="00E1499B" w:rsidRDefault="00E1499B" w:rsidP="00E1499B">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Розробка транспортної стратегії, перерозподіл транспортних потоків на території району та впровадження комплексу заходів щодо зниження викидів (створення між виробничою зоною  та автомагістралями - зелених насаджень</w:t>
      </w:r>
    </w:p>
    <w:p w:rsidR="00E1499B" w:rsidRDefault="00E1499B" w:rsidP="00E1499B">
      <w:pPr>
        <w:shd w:val="clear" w:color="auto" w:fill="FFFFFF"/>
        <w:spacing w:after="0" w:line="24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Впровадження системи інформування про ризики для здоров’я населення від забруднення атмосферного повітря, впровадження її у загальний доступ.</w:t>
      </w:r>
    </w:p>
    <w:p w:rsidR="00E1499B" w:rsidRDefault="00E1499B" w:rsidP="00E1499B">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Заходи спрямовані на запобігання, відвернення, уникнення, зменшення, усунення значного негативного впливу на здоров'я населення При здійсненні планованої діяльності у відповідності до вимог статті 24 Закону України «Про забезпечення санітарного та епідемічного благополуччя населення» з метою відвернення і зменшення шкідливого впливу на здоров'я населення шуму, неіонізуючих випромінювання та інших фізичних факторів будуть розглядатися: </w:t>
      </w:r>
    </w:p>
    <w:p w:rsidR="00E1499B" w:rsidRDefault="00E1499B" w:rsidP="00E1499B">
      <w:pPr>
        <w:numPr>
          <w:ilvl w:val="0"/>
          <w:numId w:val="4"/>
        </w:num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відповідні організаційні, господарські, технічні, технологічні, архітектурно-будівельні та інші заходи щодо попередження утворення та зниження шуму до рівнів, установлених санітарними нормами; </w:t>
      </w:r>
    </w:p>
    <w:p w:rsidR="00E1499B" w:rsidRDefault="00E1499B" w:rsidP="00E1499B">
      <w:pPr>
        <w:numPr>
          <w:ilvl w:val="0"/>
          <w:numId w:val="4"/>
        </w:num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заходи радіаційної безпеки, відповідних санітарних правил, а також заходи встановлені нормами, іншими актами законодавства, що містять вимоги радіаційної безпеки;</w:t>
      </w:r>
    </w:p>
    <w:p w:rsidR="00E1499B" w:rsidRDefault="00E1499B" w:rsidP="00E1499B">
      <w:pPr>
        <w:tabs>
          <w:tab w:val="left" w:pos="426"/>
        </w:tabs>
        <w:spacing w:after="0" w:line="240" w:lineRule="auto"/>
        <w:jc w:val="both"/>
        <w:rPr>
          <w:rFonts w:ascii="Times New Roman" w:eastAsia="Times New Roman" w:hAnsi="Times New Roman" w:cs="Times New Roman"/>
          <w:sz w:val="28"/>
          <w:szCs w:val="28"/>
          <w:lang w:eastAsia="ru-RU"/>
        </w:rPr>
      </w:pPr>
    </w:p>
    <w:p w:rsidR="00E1499B" w:rsidRPr="002F6026" w:rsidRDefault="00E1499B" w:rsidP="002F6026">
      <w:pPr>
        <w:pStyle w:val="a8"/>
        <w:numPr>
          <w:ilvl w:val="0"/>
          <w:numId w:val="3"/>
        </w:numPr>
        <w:tabs>
          <w:tab w:val="left" w:pos="426"/>
        </w:tabs>
        <w:spacing w:after="0" w:line="240" w:lineRule="auto"/>
        <w:jc w:val="both"/>
        <w:rPr>
          <w:rFonts w:ascii="Times New Roman" w:hAnsi="Times New Roman" w:cs="Times New Roman"/>
          <w:b/>
          <w:sz w:val="28"/>
          <w:szCs w:val="28"/>
        </w:rPr>
      </w:pPr>
      <w:r w:rsidRPr="002F6026">
        <w:rPr>
          <w:rFonts w:ascii="Times New Roman" w:hAnsi="Times New Roman" w:cs="Times New Roman"/>
          <w:b/>
          <w:sz w:val="28"/>
          <w:szCs w:val="28"/>
        </w:rPr>
        <w:t>Пропозиції щодо структури та змісту звіту про стратегічну екологічну оцінку.</w:t>
      </w:r>
    </w:p>
    <w:p w:rsidR="00E1499B" w:rsidRDefault="00E1499B" w:rsidP="00E1499B">
      <w:pPr>
        <w:shd w:val="clear" w:color="auto" w:fill="FFFFFF"/>
        <w:spacing w:after="0" w:line="240" w:lineRule="auto"/>
        <w:ind w:firstLine="708"/>
        <w:contextualSpacing/>
        <w:jc w:val="both"/>
        <w:rPr>
          <w:rFonts w:ascii="Times New Roman" w:eastAsia="Times New Roman" w:hAnsi="Times New Roman" w:cs="Times New Roman"/>
          <w:color w:val="000000"/>
          <w:sz w:val="28"/>
          <w:szCs w:val="28"/>
          <w:lang w:eastAsia="uk-UA"/>
        </w:rPr>
      </w:pPr>
    </w:p>
    <w:p w:rsidR="00E1499B" w:rsidRDefault="00E1499B" w:rsidP="00E1499B">
      <w:pPr>
        <w:shd w:val="clear" w:color="auto" w:fill="FFFFFF"/>
        <w:spacing w:after="0" w:line="240" w:lineRule="auto"/>
        <w:ind w:firstLine="708"/>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 зміст та основні цілі документа державного планування, його зв’язок з іншими документами державного планування;</w:t>
      </w:r>
    </w:p>
    <w:p w:rsidR="00E1499B" w:rsidRDefault="00E1499B" w:rsidP="00E1499B">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uk-UA"/>
        </w:rPr>
      </w:pPr>
      <w:bookmarkStart w:id="0" w:name="n105"/>
      <w:bookmarkEnd w:id="0"/>
      <w:r>
        <w:rPr>
          <w:rFonts w:ascii="Times New Roman" w:eastAsia="Times New Roman" w:hAnsi="Times New Roman" w:cs="Times New Roman"/>
          <w:color w:val="000000"/>
          <w:sz w:val="28"/>
          <w:szCs w:val="28"/>
          <w:lang w:eastAsia="uk-UA"/>
        </w:rPr>
        <w:t>2) характеристику поточного стану довкілля, у тому числі здоров’я 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 досліджень);</w:t>
      </w:r>
    </w:p>
    <w:p w:rsidR="00E1499B" w:rsidRDefault="00E1499B" w:rsidP="00E1499B">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uk-UA"/>
        </w:rPr>
      </w:pPr>
      <w:bookmarkStart w:id="1" w:name="n106"/>
      <w:bookmarkEnd w:id="1"/>
      <w:r>
        <w:rPr>
          <w:rFonts w:ascii="Times New Roman" w:eastAsia="Times New Roman" w:hAnsi="Times New Roman" w:cs="Times New Roman"/>
          <w:color w:val="000000"/>
          <w:sz w:val="28"/>
          <w:szCs w:val="28"/>
          <w:lang w:eastAsia="uk-UA"/>
        </w:rPr>
        <w:t xml:space="preserve">3) характеристику стану довкілля, умов життєдіяльності населення та стану його здоров’я на територіях, які ймовірно зазнають впливу (за </w:t>
      </w:r>
      <w:r>
        <w:rPr>
          <w:rFonts w:ascii="Times New Roman" w:eastAsia="Times New Roman" w:hAnsi="Times New Roman" w:cs="Times New Roman"/>
          <w:color w:val="000000"/>
          <w:sz w:val="28"/>
          <w:szCs w:val="28"/>
          <w:lang w:eastAsia="uk-UA"/>
        </w:rPr>
        <w:lastRenderedPageBreak/>
        <w:t>адміністративними даними, статистичною інформацією та результатами досліджень);</w:t>
      </w:r>
    </w:p>
    <w:p w:rsidR="00E1499B" w:rsidRDefault="00E1499B" w:rsidP="00E1499B">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uk-UA"/>
        </w:rPr>
      </w:pPr>
      <w:bookmarkStart w:id="2" w:name="n107"/>
      <w:bookmarkEnd w:id="2"/>
      <w:r>
        <w:rPr>
          <w:rFonts w:ascii="Times New Roman" w:eastAsia="Times New Roman" w:hAnsi="Times New Roman" w:cs="Times New Roman"/>
          <w:color w:val="000000"/>
          <w:sz w:val="28"/>
          <w:szCs w:val="28"/>
          <w:lang w:eastAsia="uk-UA"/>
        </w:rPr>
        <w:t>4) 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 (за адміністративними даними, статистичною інформацією та результатами досліджень);</w:t>
      </w:r>
    </w:p>
    <w:p w:rsidR="00E1499B" w:rsidRDefault="00E1499B" w:rsidP="00E1499B">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 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bookmarkStart w:id="3" w:name="n113"/>
      <w:bookmarkEnd w:id="3"/>
    </w:p>
    <w:p w:rsidR="00E1499B" w:rsidRDefault="00E1499B" w:rsidP="00E1499B">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6) </w:t>
      </w:r>
      <w:r>
        <w:rPr>
          <w:rFonts w:ascii="Times New Roman" w:hAnsi="Times New Roman" w:cs="Times New Roman"/>
          <w:sz w:val="28"/>
          <w:szCs w:val="28"/>
        </w:rPr>
        <w:t>зобов’язання у сфері охорони довкілля, у тому числі пов’язані із запобіганням негативному впливу на здоров’я населення, встановлені на міжнародному, державному та інших рівнях, що стосуються документа державного планування, а також шляхи врахування таких зобов’язань під час підготовки документа державного планування</w:t>
      </w:r>
    </w:p>
    <w:p w:rsidR="00E1499B" w:rsidRDefault="00E1499B" w:rsidP="00E1499B">
      <w:pPr>
        <w:spacing w:after="0" w:line="240" w:lineRule="auto"/>
        <w:ind w:firstLine="708"/>
        <w:jc w:val="both"/>
        <w:rPr>
          <w:rFonts w:ascii="Times New Roman" w:hAnsi="Times New Roman" w:cs="Times New Roman"/>
          <w:b/>
          <w:sz w:val="28"/>
          <w:szCs w:val="28"/>
        </w:rPr>
      </w:pPr>
    </w:p>
    <w:p w:rsidR="00E1499B" w:rsidRDefault="00E1499B" w:rsidP="00E1499B">
      <w:pPr>
        <w:spacing w:after="0" w:line="240" w:lineRule="auto"/>
        <w:ind w:firstLine="708"/>
        <w:jc w:val="both"/>
        <w:rPr>
          <w:rFonts w:ascii="Times New Roman" w:hAnsi="Times New Roman" w:cs="Times New Roman"/>
          <w:b/>
          <w:sz w:val="28"/>
          <w:szCs w:val="28"/>
        </w:rPr>
      </w:pPr>
    </w:p>
    <w:p w:rsidR="00E1499B" w:rsidRPr="002F6026" w:rsidRDefault="00E1499B" w:rsidP="002F6026">
      <w:pPr>
        <w:pStyle w:val="a8"/>
        <w:numPr>
          <w:ilvl w:val="0"/>
          <w:numId w:val="3"/>
        </w:numPr>
        <w:spacing w:after="0" w:line="240" w:lineRule="auto"/>
        <w:jc w:val="both"/>
        <w:rPr>
          <w:rFonts w:ascii="Times New Roman" w:hAnsi="Times New Roman" w:cs="Times New Roman"/>
          <w:b/>
          <w:sz w:val="28"/>
          <w:szCs w:val="28"/>
        </w:rPr>
      </w:pPr>
      <w:r w:rsidRPr="002F6026">
        <w:rPr>
          <w:rFonts w:ascii="Times New Roman" w:hAnsi="Times New Roman" w:cs="Times New Roman"/>
          <w:b/>
          <w:sz w:val="28"/>
          <w:szCs w:val="28"/>
        </w:rPr>
        <w:t>Орган, до якого подаються зауваження і пропозиції, та строки їх подання:</w:t>
      </w:r>
    </w:p>
    <w:p w:rsidR="002F6026" w:rsidRPr="00431905" w:rsidRDefault="0003589A" w:rsidP="0069710C">
      <w:pPr>
        <w:tabs>
          <w:tab w:val="left" w:pos="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Студениківська сільська рада</w:t>
      </w:r>
      <w:r w:rsidR="002F6026" w:rsidRPr="00431905">
        <w:rPr>
          <w:rFonts w:ascii="Times New Roman" w:hAnsi="Times New Roman" w:cs="Times New Roman"/>
          <w:sz w:val="28"/>
          <w:szCs w:val="28"/>
        </w:rPr>
        <w:t xml:space="preserve">, Переяслав-Хмельницького району, Київської області </w:t>
      </w:r>
    </w:p>
    <w:p w:rsidR="002F6026" w:rsidRPr="00431905" w:rsidRDefault="002F6026" w:rsidP="002F6026">
      <w:pPr>
        <w:tabs>
          <w:tab w:val="left" w:pos="0"/>
        </w:tabs>
        <w:spacing w:after="0" w:line="240" w:lineRule="auto"/>
        <w:jc w:val="both"/>
        <w:rPr>
          <w:rFonts w:ascii="Times New Roman" w:hAnsi="Times New Roman" w:cs="Times New Roman"/>
          <w:sz w:val="28"/>
          <w:szCs w:val="28"/>
        </w:rPr>
      </w:pPr>
      <w:r w:rsidRPr="00431905">
        <w:rPr>
          <w:rFonts w:ascii="Times New Roman" w:hAnsi="Times New Roman" w:cs="Times New Roman"/>
          <w:sz w:val="28"/>
          <w:szCs w:val="28"/>
        </w:rPr>
        <w:t>Поштова адреса: вул. Переяславська 19, с.</w:t>
      </w:r>
      <w:r w:rsidR="009B397E">
        <w:rPr>
          <w:rFonts w:ascii="Times New Roman" w:hAnsi="Times New Roman" w:cs="Times New Roman"/>
          <w:sz w:val="28"/>
          <w:szCs w:val="28"/>
        </w:rPr>
        <w:t xml:space="preserve"> </w:t>
      </w:r>
      <w:bookmarkStart w:id="4" w:name="_GoBack"/>
      <w:bookmarkEnd w:id="4"/>
      <w:r w:rsidRPr="00431905">
        <w:rPr>
          <w:rFonts w:ascii="Times New Roman" w:hAnsi="Times New Roman" w:cs="Times New Roman"/>
          <w:sz w:val="28"/>
          <w:szCs w:val="28"/>
        </w:rPr>
        <w:t>Студеники, Переяслав-Хмельницько району, Київської області, 08421.</w:t>
      </w:r>
    </w:p>
    <w:p w:rsidR="00431905" w:rsidRPr="00431905" w:rsidRDefault="00431905" w:rsidP="002F6026">
      <w:pPr>
        <w:tabs>
          <w:tab w:val="left" w:pos="0"/>
        </w:tabs>
        <w:spacing w:after="0" w:line="240" w:lineRule="auto"/>
        <w:jc w:val="both"/>
        <w:rPr>
          <w:rFonts w:ascii="Times New Roman" w:hAnsi="Times New Roman" w:cs="Times New Roman"/>
          <w:sz w:val="28"/>
          <w:szCs w:val="28"/>
        </w:rPr>
      </w:pPr>
    </w:p>
    <w:p w:rsidR="00E1499B" w:rsidRDefault="00E1499B" w:rsidP="00E1499B">
      <w:pPr>
        <w:tabs>
          <w:tab w:val="left" w:pos="709"/>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Строк громадського обговорення заяви про визначення обсягу</w:t>
      </w:r>
      <w:r>
        <w:rPr>
          <w:rFonts w:ascii="Times New Roman" w:hAnsi="Times New Roman" w:cs="Times New Roman"/>
          <w:b/>
          <w:color w:val="000000"/>
          <w:sz w:val="28"/>
          <w:szCs w:val="28"/>
        </w:rPr>
        <w:t xml:space="preserve"> </w:t>
      </w:r>
      <w:r>
        <w:rPr>
          <w:rFonts w:ascii="Times New Roman" w:hAnsi="Times New Roman" w:cs="Times New Roman"/>
          <w:color w:val="000000"/>
          <w:sz w:val="28"/>
          <w:szCs w:val="28"/>
        </w:rPr>
        <w:t xml:space="preserve">стратегічної екологічної оцінки </w:t>
      </w:r>
      <w:r>
        <w:rPr>
          <w:rFonts w:ascii="Times New Roman" w:hAnsi="Times New Roman" w:cs="Times New Roman"/>
          <w:sz w:val="28"/>
          <w:szCs w:val="28"/>
        </w:rPr>
        <w:t xml:space="preserve"> встановлюється замовником і не може становити менше як </w:t>
      </w:r>
      <w:r w:rsidR="00431905">
        <w:rPr>
          <w:rFonts w:ascii="Times New Roman" w:hAnsi="Times New Roman" w:cs="Times New Roman"/>
          <w:sz w:val="28"/>
          <w:szCs w:val="28"/>
        </w:rPr>
        <w:t>15 днів з дня її оприлюднення (</w:t>
      </w:r>
      <w:r>
        <w:rPr>
          <w:rFonts w:ascii="Times New Roman" w:hAnsi="Times New Roman" w:cs="Times New Roman"/>
          <w:sz w:val="28"/>
          <w:szCs w:val="28"/>
        </w:rPr>
        <w:t>відповідно до п.п.5,6 ст. 10 Закону України «Про стратегічну екологічну оцінку»</w:t>
      </w:r>
      <w:r w:rsidR="00431905">
        <w:rPr>
          <w:rFonts w:ascii="Times New Roman" w:hAnsi="Times New Roman" w:cs="Times New Roman"/>
          <w:sz w:val="28"/>
          <w:szCs w:val="28"/>
        </w:rPr>
        <w:t>)</w:t>
      </w:r>
    </w:p>
    <w:p w:rsidR="00E1499B" w:rsidRDefault="00E1499B" w:rsidP="00E1499B">
      <w:pPr>
        <w:tabs>
          <w:tab w:val="left" w:pos="709"/>
        </w:tabs>
        <w:spacing w:after="0" w:line="240" w:lineRule="auto"/>
        <w:contextualSpacing/>
        <w:jc w:val="both"/>
        <w:rPr>
          <w:rFonts w:ascii="Times New Roman" w:hAnsi="Times New Roman" w:cs="Times New Roman"/>
          <w:sz w:val="28"/>
          <w:szCs w:val="28"/>
        </w:rPr>
      </w:pPr>
    </w:p>
    <w:p w:rsidR="00E1499B" w:rsidRDefault="00E1499B" w:rsidP="00E1499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Відповідальна особа:______________________________</w:t>
      </w:r>
    </w:p>
    <w:p w:rsidR="00E1499B" w:rsidRDefault="00E1499B" w:rsidP="00E149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контактні дані:_______________________________________</w:t>
      </w:r>
    </w:p>
    <w:p w:rsidR="00E1499B" w:rsidRDefault="00E1499B" w:rsidP="00E1499B">
      <w:pPr>
        <w:spacing w:after="0" w:line="240" w:lineRule="auto"/>
        <w:rPr>
          <w:rFonts w:ascii="Times New Roman" w:hAnsi="Times New Roman"/>
          <w:b/>
          <w:sz w:val="28"/>
          <w:szCs w:val="28"/>
        </w:rPr>
      </w:pPr>
    </w:p>
    <w:p w:rsidR="00E1499B" w:rsidRDefault="0003589A" w:rsidP="00E1499B">
      <w:pPr>
        <w:spacing w:after="0" w:line="240" w:lineRule="auto"/>
        <w:rPr>
          <w:rFonts w:ascii="Times New Roman" w:hAnsi="Times New Roman"/>
          <w:b/>
          <w:sz w:val="28"/>
          <w:szCs w:val="28"/>
        </w:rPr>
      </w:pPr>
      <w:r>
        <w:rPr>
          <w:rFonts w:ascii="Times New Roman" w:hAnsi="Times New Roman"/>
          <w:b/>
          <w:sz w:val="28"/>
          <w:szCs w:val="28"/>
        </w:rPr>
        <w:t>Сільський голова</w:t>
      </w:r>
      <w:r w:rsidR="00E1499B">
        <w:rPr>
          <w:rFonts w:ascii="Times New Roman" w:hAnsi="Times New Roman"/>
          <w:b/>
          <w:sz w:val="28"/>
          <w:szCs w:val="28"/>
        </w:rPr>
        <w:t xml:space="preserve">                                                       М.О. Лях </w:t>
      </w:r>
    </w:p>
    <w:p w:rsidR="00E1499B" w:rsidRDefault="00E1499B" w:rsidP="00E1499B">
      <w:pPr>
        <w:rPr>
          <w:rFonts w:ascii="Times New Roman" w:hAnsi="Times New Roman"/>
          <w:b/>
          <w:sz w:val="28"/>
          <w:szCs w:val="28"/>
        </w:rPr>
      </w:pPr>
      <w:r>
        <w:rPr>
          <w:rFonts w:ascii="Times New Roman" w:hAnsi="Times New Roman"/>
          <w:b/>
          <w:sz w:val="28"/>
          <w:szCs w:val="28"/>
        </w:rPr>
        <w:t xml:space="preserve">                                                                                    </w:t>
      </w:r>
    </w:p>
    <w:p w:rsidR="00E1499B" w:rsidRDefault="00E1499B" w:rsidP="00E1499B"/>
    <w:p w:rsidR="00E1499B" w:rsidRDefault="00E1499B" w:rsidP="00E1499B">
      <w:pPr>
        <w:spacing w:after="0" w:line="360" w:lineRule="auto"/>
        <w:ind w:firstLine="708"/>
        <w:jc w:val="both"/>
        <w:rPr>
          <w:rFonts w:ascii="Times New Roman" w:hAnsi="Times New Roman" w:cs="Times New Roman"/>
          <w:sz w:val="28"/>
          <w:szCs w:val="28"/>
        </w:rPr>
      </w:pPr>
    </w:p>
    <w:p w:rsidR="00A311E6" w:rsidRDefault="00A311E6"/>
    <w:p w:rsidR="00431905" w:rsidRDefault="00431905"/>
    <w:p w:rsidR="00431905" w:rsidRDefault="00431905"/>
    <w:p w:rsidR="00431905" w:rsidRDefault="00431905"/>
    <w:p w:rsidR="00431905" w:rsidRDefault="00431905"/>
    <w:p w:rsidR="00431905" w:rsidRDefault="00431905" w:rsidP="00431905">
      <w:pPr>
        <w:jc w:val="right"/>
        <w:rPr>
          <w:rFonts w:ascii="Times New Roman" w:hAnsi="Times New Roman" w:cs="Times New Roman"/>
          <w:sz w:val="28"/>
          <w:szCs w:val="28"/>
        </w:rPr>
      </w:pPr>
      <w:r w:rsidRPr="00431905">
        <w:rPr>
          <w:rFonts w:ascii="Times New Roman" w:hAnsi="Times New Roman" w:cs="Times New Roman"/>
          <w:sz w:val="28"/>
          <w:szCs w:val="28"/>
        </w:rPr>
        <w:lastRenderedPageBreak/>
        <w:t>Додаток А</w:t>
      </w:r>
    </w:p>
    <w:p w:rsidR="00431905" w:rsidRPr="00431905" w:rsidRDefault="00431905" w:rsidP="00431905">
      <w:pPr>
        <w:jc w:val="center"/>
        <w:rPr>
          <w:rFonts w:ascii="Times New Roman" w:hAnsi="Times New Roman" w:cs="Times New Roman"/>
          <w:sz w:val="28"/>
          <w:szCs w:val="28"/>
        </w:rPr>
      </w:pPr>
      <w:r w:rsidRPr="00431905">
        <w:rPr>
          <w:rFonts w:ascii="Times New Roman" w:hAnsi="Times New Roman" w:cs="Times New Roman"/>
          <w:noProof/>
          <w:sz w:val="28"/>
          <w:szCs w:val="28"/>
          <w:lang w:eastAsia="uk-UA"/>
        </w:rPr>
        <w:drawing>
          <wp:inline distT="0" distB="0" distL="0" distR="0">
            <wp:extent cx="5940425" cy="5612148"/>
            <wp:effectExtent l="0" t="0" r="3175" b="7620"/>
            <wp:docPr id="1" name="Рисунок 1" descr="C:\Users\Dell 390\Desktop\5) Проектні. обмеженн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 390\Desktop\5) Проектні. обмеження.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5612148"/>
                    </a:xfrm>
                    <a:prstGeom prst="rect">
                      <a:avLst/>
                    </a:prstGeom>
                    <a:noFill/>
                    <a:ln>
                      <a:noFill/>
                    </a:ln>
                  </pic:spPr>
                </pic:pic>
              </a:graphicData>
            </a:graphic>
          </wp:inline>
        </w:drawing>
      </w:r>
    </w:p>
    <w:sectPr w:rsidR="00431905" w:rsidRPr="00431905">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DFF" w:rsidRDefault="00630DFF" w:rsidP="00E1499B">
      <w:pPr>
        <w:spacing w:after="0" w:line="240" w:lineRule="auto"/>
      </w:pPr>
      <w:r>
        <w:separator/>
      </w:r>
    </w:p>
  </w:endnote>
  <w:endnote w:type="continuationSeparator" w:id="0">
    <w:p w:rsidR="00630DFF" w:rsidRDefault="00630DFF" w:rsidP="00E14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1843661"/>
      <w:docPartObj>
        <w:docPartGallery w:val="Page Numbers (Bottom of Page)"/>
        <w:docPartUnique/>
      </w:docPartObj>
    </w:sdtPr>
    <w:sdtEndPr/>
    <w:sdtContent>
      <w:p w:rsidR="00E1499B" w:rsidRDefault="00E1499B">
        <w:pPr>
          <w:pStyle w:val="a6"/>
          <w:jc w:val="right"/>
        </w:pPr>
        <w:r>
          <w:fldChar w:fldCharType="begin"/>
        </w:r>
        <w:r>
          <w:instrText>PAGE   \* MERGEFORMAT</w:instrText>
        </w:r>
        <w:r>
          <w:fldChar w:fldCharType="separate"/>
        </w:r>
        <w:r w:rsidR="009B397E" w:rsidRPr="009B397E">
          <w:rPr>
            <w:noProof/>
            <w:lang w:val="ru-RU"/>
          </w:rPr>
          <w:t>1</w:t>
        </w:r>
        <w:r>
          <w:fldChar w:fldCharType="end"/>
        </w:r>
      </w:p>
    </w:sdtContent>
  </w:sdt>
  <w:p w:rsidR="00E1499B" w:rsidRDefault="00E1499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DFF" w:rsidRDefault="00630DFF" w:rsidP="00E1499B">
      <w:pPr>
        <w:spacing w:after="0" w:line="240" w:lineRule="auto"/>
      </w:pPr>
      <w:r>
        <w:separator/>
      </w:r>
    </w:p>
  </w:footnote>
  <w:footnote w:type="continuationSeparator" w:id="0">
    <w:p w:rsidR="00630DFF" w:rsidRDefault="00630DFF" w:rsidP="00E149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238F7"/>
    <w:multiLevelType w:val="hybridMultilevel"/>
    <w:tmpl w:val="167015E0"/>
    <w:lvl w:ilvl="0" w:tplc="0419000F">
      <w:start w:val="6"/>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5C55327"/>
    <w:multiLevelType w:val="hybridMultilevel"/>
    <w:tmpl w:val="45A09C9C"/>
    <w:lvl w:ilvl="0" w:tplc="A32675BC">
      <w:start w:val="2"/>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63615B0B"/>
    <w:multiLevelType w:val="hybridMultilevel"/>
    <w:tmpl w:val="A7108410"/>
    <w:lvl w:ilvl="0" w:tplc="BEC40AD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7CE416F7"/>
    <w:multiLevelType w:val="hybridMultilevel"/>
    <w:tmpl w:val="BC78BBBA"/>
    <w:lvl w:ilvl="0" w:tplc="B18CE3D0">
      <w:numFmt w:val="bullet"/>
      <w:lvlText w:val="-"/>
      <w:lvlJc w:val="left"/>
      <w:pPr>
        <w:ind w:left="1004" w:hanging="360"/>
      </w:pPr>
      <w:rPr>
        <w:rFonts w:ascii="Times New Roman" w:eastAsiaTheme="minorHAnsi" w:hAnsi="Times New Roman" w:cs="Times New Roman"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E5F"/>
    <w:rsid w:val="000335F3"/>
    <w:rsid w:val="0003589A"/>
    <w:rsid w:val="000721D4"/>
    <w:rsid w:val="00171E16"/>
    <w:rsid w:val="001C345C"/>
    <w:rsid w:val="002F6026"/>
    <w:rsid w:val="00431905"/>
    <w:rsid w:val="004D02E3"/>
    <w:rsid w:val="004E6E5F"/>
    <w:rsid w:val="00557D0F"/>
    <w:rsid w:val="00630DFF"/>
    <w:rsid w:val="0066240A"/>
    <w:rsid w:val="0069401B"/>
    <w:rsid w:val="0069710C"/>
    <w:rsid w:val="007841B9"/>
    <w:rsid w:val="009B397E"/>
    <w:rsid w:val="00A311E6"/>
    <w:rsid w:val="00E1499B"/>
    <w:rsid w:val="00FC4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B3C99"/>
  <w15:chartTrackingRefBased/>
  <w15:docId w15:val="{E59A21CC-C997-4261-BDCA-5D3D86D37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99B"/>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499B"/>
    <w:pPr>
      <w:spacing w:after="0" w:line="240" w:lineRule="auto"/>
    </w:pPr>
    <w:rPr>
      <w:rFonts w:ascii="Times New Roman" w:hAnsi="Times New Roman"/>
      <w:sz w:val="24"/>
      <w:lang w:val="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1499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1499B"/>
    <w:rPr>
      <w:lang w:val="uk-UA"/>
    </w:rPr>
  </w:style>
  <w:style w:type="paragraph" w:styleId="a6">
    <w:name w:val="footer"/>
    <w:basedOn w:val="a"/>
    <w:link w:val="a7"/>
    <w:uiPriority w:val="99"/>
    <w:unhideWhenUsed/>
    <w:rsid w:val="00E1499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1499B"/>
    <w:rPr>
      <w:lang w:val="uk-UA"/>
    </w:rPr>
  </w:style>
  <w:style w:type="paragraph" w:styleId="a8">
    <w:name w:val="List Paragraph"/>
    <w:basedOn w:val="a"/>
    <w:uiPriority w:val="34"/>
    <w:qFormat/>
    <w:rsid w:val="002F6026"/>
    <w:pPr>
      <w:ind w:left="720"/>
      <w:contextualSpacing/>
    </w:pPr>
  </w:style>
  <w:style w:type="paragraph" w:styleId="a9">
    <w:name w:val="Balloon Text"/>
    <w:basedOn w:val="a"/>
    <w:link w:val="aa"/>
    <w:uiPriority w:val="99"/>
    <w:semiHidden/>
    <w:unhideWhenUsed/>
    <w:rsid w:val="0069401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9401B"/>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214018">
      <w:bodyDiv w:val="1"/>
      <w:marLeft w:val="0"/>
      <w:marRight w:val="0"/>
      <w:marTop w:val="0"/>
      <w:marBottom w:val="0"/>
      <w:divBdr>
        <w:top w:val="none" w:sz="0" w:space="0" w:color="auto"/>
        <w:left w:val="none" w:sz="0" w:space="0" w:color="auto"/>
        <w:bottom w:val="none" w:sz="0" w:space="0" w:color="auto"/>
        <w:right w:val="none" w:sz="0" w:space="0" w:color="auto"/>
      </w:divBdr>
    </w:div>
    <w:div w:id="196604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11052</Words>
  <Characters>6300</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 390</dc:creator>
  <cp:keywords/>
  <dc:description/>
  <cp:lastModifiedBy>Людмила Крисько</cp:lastModifiedBy>
  <cp:revision>2</cp:revision>
  <cp:lastPrinted>2019-07-25T10:22:00Z</cp:lastPrinted>
  <dcterms:created xsi:type="dcterms:W3CDTF">2019-08-13T21:41:00Z</dcterms:created>
  <dcterms:modified xsi:type="dcterms:W3CDTF">2019-08-13T21:41:00Z</dcterms:modified>
</cp:coreProperties>
</file>