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A8F" w:rsidRPr="009253A3" w:rsidRDefault="00FA1A8F" w:rsidP="00FA1A8F">
      <w:pPr>
        <w:spacing w:after="0" w:line="240" w:lineRule="auto"/>
        <w:ind w:right="433"/>
        <w:contextualSpacing/>
        <w:jc w:val="right"/>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ЗАТВЕРДЖЕНО</w:t>
      </w:r>
    </w:p>
    <w:p w:rsidR="00FA1A8F" w:rsidRPr="009253A3" w:rsidRDefault="00FA1A8F" w:rsidP="00FA1A8F">
      <w:pPr>
        <w:spacing w:after="0" w:line="240" w:lineRule="auto"/>
        <w:ind w:right="433"/>
        <w:contextualSpacing/>
        <w:jc w:val="right"/>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Рішенням сесії сільської ради                            </w:t>
      </w:r>
    </w:p>
    <w:p w:rsidR="00FA1A8F" w:rsidRPr="009253A3" w:rsidRDefault="00FA1A8F" w:rsidP="00FA1A8F">
      <w:pPr>
        <w:spacing w:after="0" w:line="240" w:lineRule="auto"/>
        <w:ind w:right="433"/>
        <w:contextualSpacing/>
        <w:jc w:val="right"/>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сьомого скликання</w:t>
      </w:r>
    </w:p>
    <w:p w:rsidR="00FA1A8F" w:rsidRPr="009253A3" w:rsidRDefault="00FA1A8F" w:rsidP="00FA1A8F">
      <w:pPr>
        <w:spacing w:after="0" w:line="240" w:lineRule="auto"/>
        <w:ind w:right="433"/>
        <w:contextualSpacing/>
        <w:jc w:val="right"/>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 25.04.2018 року № 170</w:t>
      </w:r>
    </w:p>
    <w:p w:rsidR="00FA1A8F" w:rsidRPr="009253A3" w:rsidRDefault="00FA1A8F" w:rsidP="00FA1A8F">
      <w:pPr>
        <w:spacing w:after="0" w:line="240" w:lineRule="auto"/>
        <w:contextualSpacing/>
        <w:jc w:val="right"/>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center"/>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ПРОГРАМА СОЦІАЛЬНО-ЕКОНОМІЧНОГО РОЗВИТКУ</w:t>
      </w:r>
    </w:p>
    <w:p w:rsidR="00FA1A8F" w:rsidRPr="009253A3" w:rsidRDefault="00FA1A8F" w:rsidP="00FA1A8F">
      <w:pPr>
        <w:spacing w:after="0" w:line="240" w:lineRule="auto"/>
        <w:contextualSpacing/>
        <w:jc w:val="center"/>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СТУДЕНИКІВСЬКОЇ  СІЛЬСЬКОЇ РАДИ - ОБ’ЄДНАНОЇ ТЕРИТОРІАЛЬНОЇ</w:t>
      </w:r>
    </w:p>
    <w:p w:rsidR="00FA1A8F" w:rsidRPr="009253A3" w:rsidRDefault="00FA1A8F" w:rsidP="00FA1A8F">
      <w:pPr>
        <w:spacing w:after="0" w:line="240" w:lineRule="auto"/>
        <w:contextualSpacing/>
        <w:jc w:val="center"/>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ГРОМАДИ  НА 2018 РІК</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center"/>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iCs w:val="0"/>
          <w:sz w:val="24"/>
          <w:szCs w:val="24"/>
          <w:lang w:val="uk-UA"/>
        </w:rPr>
        <w:t>С.Студеники</w:t>
      </w:r>
      <w:proofErr w:type="spellEnd"/>
    </w:p>
    <w:p w:rsidR="00FA1A8F" w:rsidRPr="009253A3" w:rsidRDefault="00FA1A8F" w:rsidP="00FA1A8F">
      <w:pPr>
        <w:spacing w:after="0" w:line="240" w:lineRule="auto"/>
        <w:contextualSpacing/>
        <w:jc w:val="center"/>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2018 рік</w:t>
      </w:r>
      <w:r w:rsidRPr="009253A3">
        <w:rPr>
          <w:rFonts w:ascii="Times New Roman" w:eastAsia="Times New Roman" w:hAnsi="Times New Roman" w:cs="Times New Roman"/>
          <w:iCs w:val="0"/>
          <w:sz w:val="24"/>
          <w:szCs w:val="24"/>
          <w:lang w:val="uk-UA"/>
        </w:rPr>
        <w:br w:type="page"/>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tabs>
          <w:tab w:val="left" w:pos="66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ab/>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ЗМІСТ</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Перелік скорочень_____________________________________________________</w:t>
      </w:r>
      <w:r w:rsidRPr="009253A3">
        <w:rPr>
          <w:rFonts w:ascii="Times New Roman" w:eastAsia="Times New Roman" w:hAnsi="Times New Roman" w:cs="Times New Roman"/>
          <w:iCs w:val="0"/>
          <w:sz w:val="24"/>
          <w:szCs w:val="24"/>
          <w:lang w:val="uk-UA"/>
        </w:rPr>
        <w:softHyphen/>
      </w:r>
      <w:r w:rsidRPr="009253A3">
        <w:rPr>
          <w:rFonts w:ascii="Times New Roman" w:eastAsia="Times New Roman" w:hAnsi="Times New Roman" w:cs="Times New Roman"/>
          <w:iCs w:val="0"/>
          <w:sz w:val="24"/>
          <w:szCs w:val="24"/>
          <w:lang w:val="uk-UA"/>
        </w:rPr>
        <w:softHyphen/>
        <w:t>______ 3</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1. Вступ____________________________________________________________________ 4</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2. Аналітична частина________________________________________________________ 6</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3. Цілі  та пріоритети  розвитку об’єднаної територіальної громади__________________ 15</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4. Пріоритетні заходи реалізації Програми соціально-економічного розвитку Студениківської сільської ради - об’єднаної територіальної громади_________________ 15</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5. Фінансове забезпечення реалізації Програми __________________________________ 17</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6. </w:t>
      </w:r>
      <w:r w:rsidRPr="009253A3">
        <w:rPr>
          <w:rFonts w:ascii="Times New Roman" w:eastAsia="Times New Roman" w:hAnsi="Times New Roman" w:cs="Times New Roman"/>
          <w:bCs/>
          <w:iCs w:val="0"/>
          <w:sz w:val="24"/>
          <w:szCs w:val="24"/>
          <w:lang w:val="uk-UA"/>
        </w:rPr>
        <w:t>Моніторинг та оцінка результативності реалізації Програми______________________ 18</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                     </w:t>
      </w: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21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ПЕРЕЛІК СКОРОЧЕНЬ</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ОТГ – об’єднана територіальна громада</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ЄС – Європейський Союз</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ФАП – фельдшерсько-акушерський пункт</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ЗУ – Закон України</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 xml:space="preserve">Програма – Програма соціально-економічного розвитку </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 xml:space="preserve">  </w:t>
      </w:r>
      <w:proofErr w:type="spellStart"/>
      <w:r w:rsidRPr="009253A3">
        <w:rPr>
          <w:rFonts w:ascii="Times New Roman" w:eastAsia="Times New Roman" w:hAnsi="Times New Roman" w:cs="Times New Roman"/>
          <w:b/>
          <w:iCs w:val="0"/>
          <w:sz w:val="24"/>
          <w:szCs w:val="24"/>
          <w:lang w:val="uk-UA"/>
        </w:rPr>
        <w:t>Студениківької</w:t>
      </w:r>
      <w:proofErr w:type="spellEnd"/>
      <w:r w:rsidRPr="009253A3">
        <w:rPr>
          <w:rFonts w:ascii="Times New Roman" w:eastAsia="Times New Roman" w:hAnsi="Times New Roman" w:cs="Times New Roman"/>
          <w:b/>
          <w:iCs w:val="0"/>
          <w:sz w:val="24"/>
          <w:szCs w:val="24"/>
          <w:lang w:val="uk-UA"/>
        </w:rPr>
        <w:t xml:space="preserve"> сільської ради - об’єднаної територіальної громади</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 xml:space="preserve">SWOT – аналіз сильних, слабких сторін, а також </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 xml:space="preserve">    сприятливих можливостей і загроз </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ДФРР – Державний фонд регіонального розвитку</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ЦНАП – центр надання адміністративних послуг</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ОНЗ – опорний навчальний заклад</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НВК – навчально-виховний комплекс</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ДНЗ – дитячий навчальний заклад</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numPr>
          <w:ilvl w:val="0"/>
          <w:numId w:val="24"/>
        </w:num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ВСТУП</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Програма соціально-економічного розвитку Студениківської сільської ради -  об’єднаної територіальної громади на 2018 рік (далі – Програма) розроблено спеціалістами Студениківської сільської ради, робочою групою з підготовки стратегії розвитку громади, керівниками підприємств, установ та організацій, громадськістю сіл, що об’єдналися.</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Законодавчою основою для розроблення Програми є Закон України «Про державне прогнозування та розроблення програм економічного і соціального розвитку України від 23.03.2000р. № 1602- ІІІ, постанова Кабінету Міністрів України від 26.04.2003р. №621 «Про розроблення прогнозних і програмних документів економічного і соціального розвитку та складання проекту державного бюджету» із змінами, внесеними постановами Кабінету Міністрів України від 23.09.2015р. №741, ЗУ «Про добровільне об’єднання територіальних громад» від 05.02.2015р. № 157-VIII та рекомендації Міністерства України щодо типової структури плану та показників соціально-економічного розвитку об’єднаної територіальної громади.</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t>Програма соціально-економічного розвитку Студениківської об’єднаної територіальної громади розроблений відповідно до:</w:t>
      </w:r>
    </w:p>
    <w:p w:rsidR="00FA1A8F" w:rsidRPr="009253A3" w:rsidRDefault="00FA1A8F" w:rsidP="00FA1A8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Державної стратегії регіонального розвитку на період до 2020 року затвердженої постановою Кабінету Міністрів України від 6 серпня 2014року №385;</w:t>
      </w:r>
    </w:p>
    <w:p w:rsidR="00FA1A8F" w:rsidRPr="009253A3" w:rsidRDefault="00FA1A8F" w:rsidP="00FA1A8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Розпорядження Кабінету Міністрів України від 4 березня 2015року№213-р «Про затвердження плану заходів з виконання Програми діяльності Кабінету Міністрів України та стратегії сталого розвитку «Україна-2020» у 2015 році;</w:t>
      </w:r>
    </w:p>
    <w:p w:rsidR="00FA1A8F" w:rsidRPr="009253A3" w:rsidRDefault="00FA1A8F" w:rsidP="00FA1A8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Закону України «Про засади державної регіональної політики» від 5 лютого 2015року № 156 –VIII</w:t>
      </w:r>
    </w:p>
    <w:p w:rsidR="00FA1A8F" w:rsidRPr="009253A3" w:rsidRDefault="00FA1A8F" w:rsidP="00FA1A8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Стратегії  розвитку  Київської області до 2020 року, затвердженої розпорядженням голови Київської обласної державної адміністрації 06.11.2014 №370;</w:t>
      </w:r>
    </w:p>
    <w:p w:rsidR="00FA1A8F" w:rsidRPr="009253A3" w:rsidRDefault="00FA1A8F" w:rsidP="00FA1A8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Програми соціально-економічного та культурного розвитку  Київської області на 2018рік, схваленої головою Київської обласної державної адміністрації 24.11.2017 №591;</w:t>
      </w:r>
    </w:p>
    <w:p w:rsidR="00FA1A8F" w:rsidRPr="009253A3" w:rsidRDefault="00FA1A8F" w:rsidP="00FA1A8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Стратегії розвитку Студениківської об’єднаної територіальної громади на період до 2020 року;</w:t>
      </w:r>
    </w:p>
    <w:p w:rsidR="00FA1A8F" w:rsidRPr="009253A3" w:rsidRDefault="00FA1A8F" w:rsidP="00FA1A8F">
      <w:pPr>
        <w:widowControl w:val="0"/>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         Метою програми є створення умов для динамічного і збалансованого розвитку економіки ОТГ шляхом забезпечення соціальної та економічної єдності, підвищення рівня конкурентоспроможності, активізації економічної діяльності, що сприятиме зростанню добробуту населення та подальшим перетворенням в усіх сферах суспільного життя.</w:t>
      </w:r>
    </w:p>
    <w:p w:rsidR="00FA1A8F" w:rsidRPr="009253A3" w:rsidRDefault="00FA1A8F" w:rsidP="00FA1A8F">
      <w:pPr>
        <w:tabs>
          <w:tab w:val="left" w:pos="709"/>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Програма  містить основні показники економічного та соціального розвитку ОТГ, які враховують існуючі тенденції соціально-економічного розвитку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і соціального розвитку України на 2018-2020 роки". </w:t>
      </w:r>
    </w:p>
    <w:p w:rsidR="00FA1A8F" w:rsidRPr="009253A3" w:rsidRDefault="00FA1A8F" w:rsidP="00FA1A8F">
      <w:pPr>
        <w:tabs>
          <w:tab w:val="left" w:pos="709"/>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Фінансування заходів Програми у 2018 році здійснюватиметься за рахунок різних джерел фінансування: власних надходжень до місцевого бюджету, субвенцій та дотацій з державного та обласного бюджету, кредитних ресурсів,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lastRenderedPageBreak/>
        <w:t xml:space="preserve">Виконання Програми сприятиме перетворенню економіки ОТГ на більш </w:t>
      </w:r>
      <w:proofErr w:type="spellStart"/>
      <w:r w:rsidRPr="009253A3">
        <w:rPr>
          <w:rFonts w:ascii="Times New Roman" w:eastAsia="Times New Roman" w:hAnsi="Times New Roman" w:cs="Times New Roman"/>
          <w:iCs w:val="0"/>
          <w:sz w:val="24"/>
          <w:szCs w:val="24"/>
          <w:lang w:val="uk-UA"/>
        </w:rPr>
        <w:t>конкурентноспроможну</w:t>
      </w:r>
      <w:proofErr w:type="spellEnd"/>
      <w:r w:rsidRPr="009253A3">
        <w:rPr>
          <w:rFonts w:ascii="Times New Roman" w:eastAsia="Times New Roman" w:hAnsi="Times New Roman" w:cs="Times New Roman"/>
          <w:iCs w:val="0"/>
          <w:sz w:val="24"/>
          <w:szCs w:val="24"/>
          <w:lang w:val="uk-UA"/>
        </w:rPr>
        <w:t xml:space="preserve"> за рахунок залучення як прямих іноземних, так і внутрішніх інвестицій у перспективні сектори, стимулюванню розвитку підприємництва, ефективному використанню природних ресурсів, що у кінцевому результаті матиме позитивний вплив на підвищення експортного потенціалу місцевих виробників та освоєння нових ринків збуту продукції.</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У процесі виконання Програма може </w:t>
      </w:r>
      <w:proofErr w:type="spellStart"/>
      <w:r w:rsidRPr="009253A3">
        <w:rPr>
          <w:rFonts w:ascii="Times New Roman" w:eastAsia="Times New Roman" w:hAnsi="Times New Roman" w:cs="Times New Roman"/>
          <w:iCs w:val="0"/>
          <w:sz w:val="24"/>
          <w:szCs w:val="24"/>
          <w:lang w:val="uk-UA"/>
        </w:rPr>
        <w:t>уточнюватися</w:t>
      </w:r>
      <w:proofErr w:type="spellEnd"/>
      <w:r w:rsidRPr="009253A3">
        <w:rPr>
          <w:rFonts w:ascii="Times New Roman" w:eastAsia="Times New Roman" w:hAnsi="Times New Roman" w:cs="Times New Roman"/>
          <w:iCs w:val="0"/>
          <w:sz w:val="24"/>
          <w:szCs w:val="24"/>
          <w:lang w:val="uk-UA"/>
        </w:rPr>
        <w:t xml:space="preserve">. Зміни і доповнення до Програми затверджуються </w:t>
      </w:r>
      <w:proofErr w:type="spellStart"/>
      <w:r w:rsidRPr="009253A3">
        <w:rPr>
          <w:rFonts w:ascii="Times New Roman" w:eastAsia="Times New Roman" w:hAnsi="Times New Roman" w:cs="Times New Roman"/>
          <w:iCs w:val="0"/>
          <w:sz w:val="24"/>
          <w:szCs w:val="24"/>
          <w:lang w:val="uk-UA"/>
        </w:rPr>
        <w:t>Студениківською</w:t>
      </w:r>
      <w:proofErr w:type="spellEnd"/>
      <w:r w:rsidRPr="009253A3">
        <w:rPr>
          <w:rFonts w:ascii="Times New Roman" w:eastAsia="Times New Roman" w:hAnsi="Times New Roman" w:cs="Times New Roman"/>
          <w:iCs w:val="0"/>
          <w:sz w:val="24"/>
          <w:szCs w:val="24"/>
          <w:lang w:val="uk-UA"/>
        </w:rPr>
        <w:t xml:space="preserve"> сільською радою .</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numPr>
          <w:ilvl w:val="0"/>
          <w:numId w:val="24"/>
        </w:num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 xml:space="preserve"> АНАЛІТИЧНА ЧАСТИНА</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2.1. Географічна характеристика Студениківської об’єднаної територіальної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b/>
          <w:iCs w:val="0"/>
          <w:sz w:val="24"/>
          <w:szCs w:val="24"/>
          <w:lang w:val="uk-UA" w:eastAsia="ru-RU"/>
        </w:rPr>
        <w:tab/>
      </w:r>
      <w:r w:rsidRPr="009253A3">
        <w:rPr>
          <w:rFonts w:ascii="Times New Roman" w:eastAsia="Times New Roman" w:hAnsi="Times New Roman" w:cs="Times New Roman"/>
          <w:iCs w:val="0"/>
          <w:sz w:val="24"/>
          <w:szCs w:val="24"/>
          <w:lang w:val="uk-UA" w:eastAsia="ru-RU"/>
        </w:rPr>
        <w:t>Студениківська територіальна громада була утворена в грудні 2017 року внаслідок об'єднання п'ятьох сільських рад, загальна площа території ОТГ – 19 137 га.:</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b/>
          <w:bCs/>
          <w:iCs w:val="0"/>
          <w:sz w:val="24"/>
          <w:szCs w:val="24"/>
          <w:lang w:val="uk-UA"/>
        </w:rPr>
        <w:t>Студениківська сільська рада</w:t>
      </w:r>
      <w:r w:rsidRPr="009253A3">
        <w:rPr>
          <w:rFonts w:ascii="Times New Roman" w:eastAsia="Times New Roman" w:hAnsi="Times New Roman" w:cs="Times New Roman"/>
          <w:iCs w:val="0"/>
          <w:sz w:val="24"/>
          <w:szCs w:val="24"/>
          <w:lang w:val="uk-UA"/>
        </w:rPr>
        <w:t xml:space="preserve"> – 6 441 га</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b/>
          <w:bCs/>
          <w:iCs w:val="0"/>
          <w:sz w:val="24"/>
          <w:szCs w:val="24"/>
          <w:lang w:val="uk-UA"/>
        </w:rPr>
        <w:t>Козлівська</w:t>
      </w:r>
      <w:proofErr w:type="spellEnd"/>
      <w:r w:rsidRPr="009253A3">
        <w:rPr>
          <w:rFonts w:ascii="Times New Roman" w:eastAsia="Times New Roman" w:hAnsi="Times New Roman" w:cs="Times New Roman"/>
          <w:b/>
          <w:bCs/>
          <w:iCs w:val="0"/>
          <w:sz w:val="24"/>
          <w:szCs w:val="24"/>
          <w:lang w:val="uk-UA"/>
        </w:rPr>
        <w:t xml:space="preserve">  сільська рада </w:t>
      </w:r>
      <w:r w:rsidRPr="009253A3">
        <w:rPr>
          <w:rFonts w:ascii="Times New Roman" w:eastAsia="Times New Roman" w:hAnsi="Times New Roman" w:cs="Times New Roman"/>
          <w:iCs w:val="0"/>
          <w:sz w:val="24"/>
          <w:szCs w:val="24"/>
          <w:lang w:val="uk-UA"/>
        </w:rPr>
        <w:t>– 4284 га</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b/>
          <w:bCs/>
          <w:iCs w:val="0"/>
          <w:sz w:val="24"/>
          <w:szCs w:val="24"/>
          <w:lang w:val="uk-UA"/>
        </w:rPr>
        <w:t xml:space="preserve">Переяславська  сільська рада </w:t>
      </w:r>
      <w:r w:rsidRPr="009253A3">
        <w:rPr>
          <w:rFonts w:ascii="Times New Roman" w:eastAsia="Times New Roman" w:hAnsi="Times New Roman" w:cs="Times New Roman"/>
          <w:iCs w:val="0"/>
          <w:sz w:val="24"/>
          <w:szCs w:val="24"/>
          <w:lang w:val="uk-UA"/>
        </w:rPr>
        <w:t>– 997 га</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b/>
          <w:bCs/>
          <w:iCs w:val="0"/>
          <w:sz w:val="24"/>
          <w:szCs w:val="24"/>
          <w:lang w:val="uk-UA"/>
        </w:rPr>
        <w:t>Сомководолинська</w:t>
      </w:r>
      <w:proofErr w:type="spellEnd"/>
      <w:r w:rsidRPr="009253A3">
        <w:rPr>
          <w:rFonts w:ascii="Times New Roman" w:eastAsia="Times New Roman" w:hAnsi="Times New Roman" w:cs="Times New Roman"/>
          <w:b/>
          <w:bCs/>
          <w:iCs w:val="0"/>
          <w:sz w:val="24"/>
          <w:szCs w:val="24"/>
          <w:lang w:val="uk-UA"/>
        </w:rPr>
        <w:t>  сільська рада</w:t>
      </w:r>
      <w:r w:rsidRPr="009253A3">
        <w:rPr>
          <w:rFonts w:ascii="Times New Roman" w:eastAsia="Times New Roman" w:hAnsi="Times New Roman" w:cs="Times New Roman"/>
          <w:iCs w:val="0"/>
          <w:sz w:val="24"/>
          <w:szCs w:val="24"/>
          <w:lang w:val="uk-UA"/>
        </w:rPr>
        <w:t xml:space="preserve"> – 2605 га</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b/>
          <w:bCs/>
          <w:iCs w:val="0"/>
          <w:sz w:val="24"/>
          <w:szCs w:val="24"/>
          <w:lang w:val="uk-UA"/>
        </w:rPr>
        <w:t>Соснівська</w:t>
      </w:r>
      <w:proofErr w:type="spellEnd"/>
      <w:r w:rsidRPr="009253A3">
        <w:rPr>
          <w:rFonts w:ascii="Times New Roman" w:eastAsia="Times New Roman" w:hAnsi="Times New Roman" w:cs="Times New Roman"/>
          <w:b/>
          <w:bCs/>
          <w:iCs w:val="0"/>
          <w:sz w:val="24"/>
          <w:szCs w:val="24"/>
          <w:lang w:val="uk-UA"/>
        </w:rPr>
        <w:t>  сільська рада</w:t>
      </w:r>
      <w:r w:rsidRPr="009253A3">
        <w:rPr>
          <w:rFonts w:ascii="Times New Roman" w:eastAsia="Times New Roman" w:hAnsi="Times New Roman" w:cs="Times New Roman"/>
          <w:iCs w:val="0"/>
          <w:sz w:val="24"/>
          <w:szCs w:val="24"/>
          <w:lang w:val="uk-UA"/>
        </w:rPr>
        <w:t xml:space="preserve"> – 4810 га</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t xml:space="preserve">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25 км. від </w:t>
      </w:r>
      <w:proofErr w:type="spellStart"/>
      <w:r w:rsidRPr="009253A3">
        <w:rPr>
          <w:rFonts w:ascii="Times New Roman" w:eastAsia="Times New Roman" w:hAnsi="Times New Roman" w:cs="Times New Roman"/>
          <w:iCs w:val="0"/>
          <w:sz w:val="24"/>
          <w:szCs w:val="24"/>
          <w:lang w:val="uk-UA"/>
        </w:rPr>
        <w:t>м.Переяслав</w:t>
      </w:r>
      <w:proofErr w:type="spellEnd"/>
      <w:r w:rsidRPr="009253A3">
        <w:rPr>
          <w:rFonts w:ascii="Times New Roman" w:eastAsia="Times New Roman" w:hAnsi="Times New Roman" w:cs="Times New Roman"/>
          <w:iCs w:val="0"/>
          <w:sz w:val="24"/>
          <w:szCs w:val="24"/>
          <w:lang w:val="uk-UA"/>
        </w:rPr>
        <w:t>-Хмельницький. Територією ОТГ проходить траса міжнародного значення М-03 сполученням Київ-Харків</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У фізико-географічному відношенні ОТГ знаходиться в </w:t>
      </w:r>
      <w:proofErr w:type="spellStart"/>
      <w:r w:rsidRPr="009253A3">
        <w:rPr>
          <w:rFonts w:ascii="Times New Roman" w:eastAsia="Times New Roman" w:hAnsi="Times New Roman" w:cs="Times New Roman"/>
          <w:iCs w:val="0"/>
          <w:sz w:val="24"/>
          <w:szCs w:val="24"/>
          <w:lang w:val="uk-UA"/>
        </w:rPr>
        <w:t>лівобережно</w:t>
      </w:r>
      <w:proofErr w:type="spellEnd"/>
      <w:r w:rsidRPr="009253A3">
        <w:rPr>
          <w:rFonts w:ascii="Times New Roman" w:eastAsia="Times New Roman" w:hAnsi="Times New Roman" w:cs="Times New Roman"/>
          <w:iCs w:val="0"/>
          <w:sz w:val="24"/>
          <w:szCs w:val="24"/>
          <w:lang w:val="uk-UA"/>
        </w:rPr>
        <w:t xml:space="preserve">-дністровській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150-170 м. На більшій частині площі ОТГ </w:t>
      </w:r>
      <w:proofErr w:type="spellStart"/>
      <w:r w:rsidRPr="009253A3">
        <w:rPr>
          <w:rFonts w:ascii="Times New Roman" w:eastAsia="Times New Roman" w:hAnsi="Times New Roman" w:cs="Times New Roman"/>
          <w:iCs w:val="0"/>
          <w:sz w:val="24"/>
          <w:szCs w:val="24"/>
          <w:lang w:val="uk-UA"/>
        </w:rPr>
        <w:t>грунтові</w:t>
      </w:r>
      <w:proofErr w:type="spellEnd"/>
      <w:r w:rsidRPr="009253A3">
        <w:rPr>
          <w:rFonts w:ascii="Times New Roman" w:eastAsia="Times New Roman" w:hAnsi="Times New Roman" w:cs="Times New Roman"/>
          <w:iCs w:val="0"/>
          <w:sz w:val="24"/>
          <w:szCs w:val="24"/>
          <w:lang w:val="uk-UA"/>
        </w:rPr>
        <w:t xml:space="preserve"> води залягають на глибині 3-5 метрів.</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Головне природне багатство громади — родючі чорноземи, що займають майже 100%  ріллі. </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Також територія Студениківської ОТГ включає більше 270 га лісу, що дає додаткові можливості для розвитку туризму. Планується для створення рекреаційної зони Студениківської об’єднаної територіальної громади включити в користування для розвитку туризму близько 1 200 га лісу, який знаходиться в межах ОТГ та належав колишнім колективним господарствам сіл, що ввійшли до складу громади. Зараз цей ліс знаходиться в постійному користуванні Переяслав-Хмельницького Держлісгоспу.</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b/>
          <w:iCs w:val="0"/>
          <w:sz w:val="24"/>
          <w:szCs w:val="24"/>
          <w:lang w:val="uk-UA"/>
        </w:rPr>
        <w:t xml:space="preserve">Корисні копалини. </w:t>
      </w:r>
      <w:r w:rsidRPr="009253A3">
        <w:rPr>
          <w:rFonts w:ascii="Times New Roman" w:eastAsia="Times New Roman" w:hAnsi="Times New Roman" w:cs="Times New Roman"/>
          <w:iCs w:val="0"/>
          <w:sz w:val="24"/>
          <w:szCs w:val="24"/>
          <w:lang w:val="uk-UA"/>
        </w:rPr>
        <w:t>На території Студениківської громади знаходяться запаси глини, піску.</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2.2. Демографічна характеристика об’єднаної громади, ринок праці</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ab/>
        <w:t>Студениківська територіальна громада була утворена в грудні 2017 року внаслідок об'єднання п'ятьох сільських рад:</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b/>
          <w:bCs/>
          <w:iCs w:val="0"/>
          <w:sz w:val="24"/>
          <w:szCs w:val="24"/>
          <w:lang w:val="uk-UA"/>
        </w:rPr>
        <w:t>Студениківська сільська рада</w:t>
      </w:r>
      <w:r w:rsidRPr="009253A3">
        <w:rPr>
          <w:rFonts w:ascii="Times New Roman" w:eastAsia="Times New Roman" w:hAnsi="Times New Roman" w:cs="Times New Roman"/>
          <w:iCs w:val="0"/>
          <w:sz w:val="24"/>
          <w:szCs w:val="24"/>
          <w:lang w:val="uk-UA"/>
        </w:rPr>
        <w:t xml:space="preserve"> - населення 1518 </w:t>
      </w:r>
      <w:proofErr w:type="spellStart"/>
      <w:r w:rsidRPr="009253A3">
        <w:rPr>
          <w:rFonts w:ascii="Times New Roman" w:eastAsia="Times New Roman" w:hAnsi="Times New Roman" w:cs="Times New Roman"/>
          <w:iCs w:val="0"/>
          <w:sz w:val="24"/>
          <w:szCs w:val="24"/>
          <w:lang w:val="uk-UA"/>
        </w:rPr>
        <w:t>чол</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b/>
          <w:bCs/>
          <w:iCs w:val="0"/>
          <w:sz w:val="24"/>
          <w:szCs w:val="24"/>
          <w:lang w:val="uk-UA"/>
        </w:rPr>
        <w:t>Козлівська</w:t>
      </w:r>
      <w:proofErr w:type="spellEnd"/>
      <w:r w:rsidRPr="009253A3">
        <w:rPr>
          <w:rFonts w:ascii="Times New Roman" w:eastAsia="Times New Roman" w:hAnsi="Times New Roman" w:cs="Times New Roman"/>
          <w:b/>
          <w:bCs/>
          <w:iCs w:val="0"/>
          <w:sz w:val="24"/>
          <w:szCs w:val="24"/>
          <w:lang w:val="uk-UA"/>
        </w:rPr>
        <w:t xml:space="preserve">  сільська рада </w:t>
      </w:r>
      <w:r w:rsidRPr="009253A3">
        <w:rPr>
          <w:rFonts w:ascii="Times New Roman" w:eastAsia="Times New Roman" w:hAnsi="Times New Roman" w:cs="Times New Roman"/>
          <w:iCs w:val="0"/>
          <w:sz w:val="24"/>
          <w:szCs w:val="24"/>
          <w:lang w:val="uk-UA"/>
        </w:rPr>
        <w:t>- населення 502 </w:t>
      </w:r>
      <w:proofErr w:type="spellStart"/>
      <w:r w:rsidRPr="009253A3">
        <w:rPr>
          <w:rFonts w:ascii="Times New Roman" w:eastAsia="Times New Roman" w:hAnsi="Times New Roman" w:cs="Times New Roman"/>
          <w:iCs w:val="0"/>
          <w:sz w:val="24"/>
          <w:szCs w:val="24"/>
          <w:lang w:val="uk-UA"/>
        </w:rPr>
        <w:t>чол</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b/>
          <w:bCs/>
          <w:iCs w:val="0"/>
          <w:sz w:val="24"/>
          <w:szCs w:val="24"/>
          <w:lang w:val="uk-UA"/>
        </w:rPr>
        <w:t xml:space="preserve">Переяславська  сільська рада </w:t>
      </w:r>
      <w:r w:rsidRPr="009253A3">
        <w:rPr>
          <w:rFonts w:ascii="Times New Roman" w:eastAsia="Times New Roman" w:hAnsi="Times New Roman" w:cs="Times New Roman"/>
          <w:iCs w:val="0"/>
          <w:sz w:val="24"/>
          <w:szCs w:val="24"/>
          <w:lang w:val="uk-UA"/>
        </w:rPr>
        <w:t>- населення 1327 </w:t>
      </w:r>
      <w:proofErr w:type="spellStart"/>
      <w:r w:rsidRPr="009253A3">
        <w:rPr>
          <w:rFonts w:ascii="Times New Roman" w:eastAsia="Times New Roman" w:hAnsi="Times New Roman" w:cs="Times New Roman"/>
          <w:iCs w:val="0"/>
          <w:sz w:val="24"/>
          <w:szCs w:val="24"/>
          <w:lang w:val="uk-UA"/>
        </w:rPr>
        <w:t>чол</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b/>
          <w:bCs/>
          <w:iCs w:val="0"/>
          <w:sz w:val="24"/>
          <w:szCs w:val="24"/>
          <w:lang w:val="uk-UA"/>
        </w:rPr>
        <w:t>Сомководолинська</w:t>
      </w:r>
      <w:proofErr w:type="spellEnd"/>
      <w:r w:rsidRPr="009253A3">
        <w:rPr>
          <w:rFonts w:ascii="Times New Roman" w:eastAsia="Times New Roman" w:hAnsi="Times New Roman" w:cs="Times New Roman"/>
          <w:b/>
          <w:bCs/>
          <w:iCs w:val="0"/>
          <w:sz w:val="24"/>
          <w:szCs w:val="24"/>
          <w:lang w:val="uk-UA"/>
        </w:rPr>
        <w:t>  сільська рада</w:t>
      </w:r>
      <w:r w:rsidRPr="009253A3">
        <w:rPr>
          <w:rFonts w:ascii="Times New Roman" w:eastAsia="Times New Roman" w:hAnsi="Times New Roman" w:cs="Times New Roman"/>
          <w:iCs w:val="0"/>
          <w:sz w:val="24"/>
          <w:szCs w:val="24"/>
          <w:lang w:val="uk-UA"/>
        </w:rPr>
        <w:t xml:space="preserve"> - населення 444 </w:t>
      </w:r>
      <w:proofErr w:type="spellStart"/>
      <w:r w:rsidRPr="009253A3">
        <w:rPr>
          <w:rFonts w:ascii="Times New Roman" w:eastAsia="Times New Roman" w:hAnsi="Times New Roman" w:cs="Times New Roman"/>
          <w:iCs w:val="0"/>
          <w:sz w:val="24"/>
          <w:szCs w:val="24"/>
          <w:lang w:val="uk-UA"/>
        </w:rPr>
        <w:t>чол</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b/>
          <w:bCs/>
          <w:iCs w:val="0"/>
          <w:sz w:val="24"/>
          <w:szCs w:val="24"/>
          <w:lang w:val="uk-UA"/>
        </w:rPr>
        <w:t>Соснівська</w:t>
      </w:r>
      <w:proofErr w:type="spellEnd"/>
      <w:r w:rsidRPr="009253A3">
        <w:rPr>
          <w:rFonts w:ascii="Times New Roman" w:eastAsia="Times New Roman" w:hAnsi="Times New Roman" w:cs="Times New Roman"/>
          <w:b/>
          <w:bCs/>
          <w:iCs w:val="0"/>
          <w:sz w:val="24"/>
          <w:szCs w:val="24"/>
          <w:lang w:val="uk-UA"/>
        </w:rPr>
        <w:t>  сільська рада</w:t>
      </w:r>
      <w:r w:rsidRPr="009253A3">
        <w:rPr>
          <w:rFonts w:ascii="Times New Roman" w:eastAsia="Times New Roman" w:hAnsi="Times New Roman" w:cs="Times New Roman"/>
          <w:iCs w:val="0"/>
          <w:sz w:val="24"/>
          <w:szCs w:val="24"/>
          <w:lang w:val="uk-UA"/>
        </w:rPr>
        <w:t xml:space="preserve"> - населення 661 </w:t>
      </w:r>
      <w:proofErr w:type="spellStart"/>
      <w:r w:rsidRPr="009253A3">
        <w:rPr>
          <w:rFonts w:ascii="Times New Roman" w:eastAsia="Times New Roman" w:hAnsi="Times New Roman" w:cs="Times New Roman"/>
          <w:iCs w:val="0"/>
          <w:sz w:val="24"/>
          <w:szCs w:val="24"/>
          <w:lang w:val="uk-UA"/>
        </w:rPr>
        <w:t>чол</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 ОТГ зберігається тенденція щорічного зменшення чисельності населення в результаті стабільного перевищення рівня смертності над народжуваністю, загальним процесом старіння населення і негативним сальдо міграції.</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tbl>
      <w:tblPr>
        <w:tblW w:w="9103" w:type="dxa"/>
        <w:tblLayout w:type="fixed"/>
        <w:tblCellMar>
          <w:left w:w="30" w:type="dxa"/>
          <w:right w:w="30" w:type="dxa"/>
        </w:tblCellMar>
        <w:tblLook w:val="0000" w:firstRow="0" w:lastRow="0" w:firstColumn="0" w:lastColumn="0" w:noHBand="0" w:noVBand="0"/>
      </w:tblPr>
      <w:tblGrid>
        <w:gridCol w:w="4141"/>
        <w:gridCol w:w="992"/>
        <w:gridCol w:w="992"/>
        <w:gridCol w:w="992"/>
        <w:gridCol w:w="993"/>
        <w:gridCol w:w="993"/>
      </w:tblGrid>
      <w:tr w:rsidR="00FA1A8F" w:rsidRPr="009253A3" w:rsidTr="00707983">
        <w:trPr>
          <w:trHeight w:val="294"/>
        </w:trPr>
        <w:tc>
          <w:tcPr>
            <w:tcW w:w="4141" w:type="dxa"/>
            <w:vMerge w:val="restart"/>
            <w:tcBorders>
              <w:top w:val="single" w:sz="6" w:space="0" w:color="auto"/>
              <w:left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lastRenderedPageBreak/>
              <w:t>Показники</w:t>
            </w:r>
          </w:p>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станом на 01.01.2018 року</w:t>
            </w:r>
          </w:p>
        </w:tc>
        <w:tc>
          <w:tcPr>
            <w:tcW w:w="4962" w:type="dxa"/>
            <w:gridSpan w:val="5"/>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По селах</w:t>
            </w:r>
          </w:p>
        </w:tc>
      </w:tr>
      <w:tr w:rsidR="00FA1A8F" w:rsidRPr="009253A3" w:rsidTr="00707983">
        <w:trPr>
          <w:trHeight w:val="294"/>
        </w:trPr>
        <w:tc>
          <w:tcPr>
            <w:tcW w:w="4141" w:type="dxa"/>
            <w:vMerge/>
            <w:tcBorders>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Переяславське</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Сомкова Долина,</w:t>
            </w:r>
          </w:p>
          <w:p w:rsidR="00FA1A8F" w:rsidRPr="009253A3" w:rsidRDefault="00FA1A8F" w:rsidP="00FA1A8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Соснівка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Соснова</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Кількість господарських дворів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898</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691</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381</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469</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Кількість сімей</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692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177</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356</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Кількість мешканців села, осіб, усього</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1492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502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1304</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391</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650</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чоловіків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685</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214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550</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176</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318</w:t>
            </w:r>
          </w:p>
        </w:tc>
      </w:tr>
      <w:tr w:rsidR="00FA1A8F" w:rsidRPr="009253A3" w:rsidTr="00707983">
        <w:trPr>
          <w:trHeight w:val="294"/>
        </w:trPr>
        <w:tc>
          <w:tcPr>
            <w:tcW w:w="4141" w:type="dxa"/>
            <w:tcBorders>
              <w:top w:val="single" w:sz="6" w:space="0" w:color="auto"/>
              <w:left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жінок</w:t>
            </w:r>
          </w:p>
        </w:tc>
        <w:tc>
          <w:tcPr>
            <w:tcW w:w="992" w:type="dxa"/>
            <w:tcBorders>
              <w:top w:val="single" w:sz="6" w:space="0" w:color="auto"/>
              <w:left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807</w:t>
            </w:r>
          </w:p>
        </w:tc>
        <w:tc>
          <w:tcPr>
            <w:tcW w:w="992" w:type="dxa"/>
            <w:tcBorders>
              <w:top w:val="single" w:sz="6" w:space="0" w:color="auto"/>
              <w:left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288</w:t>
            </w:r>
          </w:p>
        </w:tc>
        <w:tc>
          <w:tcPr>
            <w:tcW w:w="992" w:type="dxa"/>
            <w:tcBorders>
              <w:top w:val="single" w:sz="6" w:space="0" w:color="auto"/>
              <w:left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754</w:t>
            </w:r>
          </w:p>
        </w:tc>
        <w:tc>
          <w:tcPr>
            <w:tcW w:w="993" w:type="dxa"/>
            <w:tcBorders>
              <w:top w:val="single" w:sz="6" w:space="0" w:color="auto"/>
              <w:left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215</w:t>
            </w:r>
          </w:p>
        </w:tc>
        <w:tc>
          <w:tcPr>
            <w:tcW w:w="993" w:type="dxa"/>
            <w:tcBorders>
              <w:top w:val="single" w:sz="6" w:space="0" w:color="auto"/>
              <w:left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332</w:t>
            </w:r>
          </w:p>
        </w:tc>
      </w:tr>
      <w:tr w:rsidR="00FA1A8F" w:rsidRPr="009253A3" w:rsidTr="00707983">
        <w:tc>
          <w:tcPr>
            <w:tcW w:w="4141" w:type="dxa"/>
            <w:tcBorders>
              <w:top w:val="single" w:sz="6" w:space="0" w:color="auto"/>
              <w:left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Вікові групи населення, осіб:</w:t>
            </w:r>
          </w:p>
        </w:tc>
        <w:tc>
          <w:tcPr>
            <w:tcW w:w="992" w:type="dxa"/>
            <w:tcBorders>
              <w:top w:val="single" w:sz="6" w:space="0" w:color="auto"/>
              <w:left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30</w:t>
            </w:r>
          </w:p>
        </w:tc>
        <w:tc>
          <w:tcPr>
            <w:tcW w:w="992" w:type="dxa"/>
            <w:tcBorders>
              <w:top w:val="single" w:sz="6" w:space="0" w:color="auto"/>
              <w:left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rPr>
          <w:trHeight w:val="294"/>
        </w:trPr>
        <w:tc>
          <w:tcPr>
            <w:tcW w:w="4141" w:type="dxa"/>
            <w:tcBorders>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діти до 6 років </w:t>
            </w:r>
          </w:p>
        </w:tc>
        <w:tc>
          <w:tcPr>
            <w:tcW w:w="992" w:type="dxa"/>
            <w:tcBorders>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84</w:t>
            </w:r>
          </w:p>
        </w:tc>
        <w:tc>
          <w:tcPr>
            <w:tcW w:w="992" w:type="dxa"/>
            <w:tcBorders>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64</w:t>
            </w:r>
          </w:p>
        </w:tc>
        <w:tc>
          <w:tcPr>
            <w:tcW w:w="993" w:type="dxa"/>
            <w:tcBorders>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25</w:t>
            </w:r>
          </w:p>
        </w:tc>
        <w:tc>
          <w:tcPr>
            <w:tcW w:w="993" w:type="dxa"/>
            <w:tcBorders>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16</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школярі (6-16 років)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148</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105</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40</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молодь до 18 років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21</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23</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9</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від 18 до 40 років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398</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281</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108</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165</w:t>
            </w:r>
          </w:p>
        </w:tc>
      </w:tr>
      <w:tr w:rsidR="00FA1A8F" w:rsidRPr="009253A3" w:rsidTr="00707983">
        <w:trPr>
          <w:trHeight w:val="29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від 40 до 60 років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439</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156</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395</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87</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209</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від 60 років і старші</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402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190</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436</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124</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214</w:t>
            </w:r>
          </w:p>
        </w:tc>
      </w:tr>
      <w:tr w:rsidR="00FA1A8F" w:rsidRPr="009253A3" w:rsidTr="00707983">
        <w:trPr>
          <w:trHeight w:val="1374"/>
        </w:trPr>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Із загальної чисельності населення працюють у різних галузях (крім особистих селянських господарств), осіб</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155</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682</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52</w:t>
            </w: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267</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Мешкає на території села осіб:   </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пенсіонерів, усього</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425</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200</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398</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127</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263</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чоловіків</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70</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144</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112</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жінок</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291</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130</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254</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88</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одиноких людей пенсійного віку</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30</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25</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13</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8</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людей з інвалідністю</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41</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учасників Великої Вітчизняної війни</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33</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18</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26</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19</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учасників визвольних дій</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9</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Народилося за 2017 рік </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Померло за 2017 рік </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25</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24</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22</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Виїхало із села</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Прибуло за рік на проживання у село</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12</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8</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Тимчасово виїхало із села</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із них за межі України</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w:t>
            </w:r>
          </w:p>
        </w:tc>
      </w:tr>
    </w:tbl>
    <w:p w:rsidR="00FA1A8F" w:rsidRPr="009253A3" w:rsidRDefault="00FA1A8F" w:rsidP="00FA1A8F">
      <w:pPr>
        <w:spacing w:after="0" w:line="240" w:lineRule="auto"/>
        <w:contextualSpacing/>
        <w:jc w:val="center"/>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Таблиця 1. Соціально-демографічна ситуація ОТГ</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 xml:space="preserve"> Ринок праці по Студениківській ОТГ</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tbl>
      <w:tblPr>
        <w:tblW w:w="9102" w:type="dxa"/>
        <w:tblLayout w:type="fixed"/>
        <w:tblCellMar>
          <w:left w:w="30" w:type="dxa"/>
          <w:right w:w="30" w:type="dxa"/>
        </w:tblCellMar>
        <w:tblLook w:val="0000" w:firstRow="0" w:lastRow="0" w:firstColumn="0" w:lastColumn="0" w:noHBand="0" w:noVBand="0"/>
      </w:tblPr>
      <w:tblGrid>
        <w:gridCol w:w="4141"/>
        <w:gridCol w:w="993"/>
        <w:gridCol w:w="992"/>
        <w:gridCol w:w="992"/>
        <w:gridCol w:w="992"/>
        <w:gridCol w:w="992"/>
      </w:tblGrid>
      <w:tr w:rsidR="00FA1A8F" w:rsidRPr="009253A3" w:rsidTr="00707983">
        <w:tc>
          <w:tcPr>
            <w:tcW w:w="4141" w:type="dxa"/>
            <w:vMerge w:val="restart"/>
            <w:tcBorders>
              <w:top w:val="single" w:sz="6" w:space="0" w:color="auto"/>
              <w:left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Показники</w:t>
            </w: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на 01.01.2018 року</w:t>
            </w:r>
          </w:p>
        </w:tc>
        <w:tc>
          <w:tcPr>
            <w:tcW w:w="4961" w:type="dxa"/>
            <w:gridSpan w:val="5"/>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По селах</w:t>
            </w:r>
          </w:p>
        </w:tc>
      </w:tr>
      <w:tr w:rsidR="00FA1A8F" w:rsidRPr="009253A3" w:rsidTr="00707983">
        <w:tc>
          <w:tcPr>
            <w:tcW w:w="4141" w:type="dxa"/>
            <w:vMerge/>
            <w:tcBorders>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Переяславське</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Соснова</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Чисельність населення, зайнятого у </w:t>
            </w:r>
            <w:r w:rsidRPr="009253A3">
              <w:rPr>
                <w:rFonts w:ascii="Times New Roman" w:eastAsia="Times New Roman" w:hAnsi="Times New Roman" w:cs="Times New Roman"/>
                <w:iCs w:val="0"/>
                <w:snapToGrid w:val="0"/>
                <w:color w:val="000000"/>
                <w:sz w:val="24"/>
                <w:szCs w:val="24"/>
                <w:lang w:val="uk-UA"/>
              </w:rPr>
              <w:lastRenderedPageBreak/>
              <w:t>всіх сферах діяльності, осіб</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lastRenderedPageBreak/>
              <w:t>731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682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103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194</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lastRenderedPageBreak/>
              <w:t xml:space="preserve">  у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 сільське господарство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212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74</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 промисловість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312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 торгівля</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охорона здоров’я, освіта, культура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76</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48</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 інші галузі</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452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59</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263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65</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Чисельність населення, зайнятого народними промислами, всього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Кількість безробітних, зареєстрованих у службі зайнятості, усього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із них: чоловіки</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жінки</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bl>
    <w:p w:rsidR="00FA1A8F" w:rsidRPr="009253A3" w:rsidRDefault="00FA1A8F" w:rsidP="00FA1A8F">
      <w:pPr>
        <w:spacing w:after="0" w:line="240" w:lineRule="auto"/>
        <w:contextualSpacing/>
        <w:jc w:val="center"/>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Таблиця 2. Зайнятість населення .</w:t>
      </w:r>
    </w:p>
    <w:p w:rsidR="00FA1A8F" w:rsidRPr="009253A3" w:rsidRDefault="00FA1A8F" w:rsidP="00FA1A8F">
      <w:pPr>
        <w:tabs>
          <w:tab w:val="left" w:pos="92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Основні проблеми:</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t xml:space="preserve">- це  невідповідність </w:t>
      </w:r>
      <w:proofErr w:type="spellStart"/>
      <w:r w:rsidRPr="009253A3">
        <w:rPr>
          <w:rFonts w:ascii="Times New Roman" w:eastAsia="Times New Roman" w:hAnsi="Times New Roman" w:cs="Times New Roman"/>
          <w:iCs w:val="0"/>
          <w:sz w:val="24"/>
          <w:szCs w:val="24"/>
          <w:lang w:val="uk-UA"/>
        </w:rPr>
        <w:t>професійно</w:t>
      </w:r>
      <w:proofErr w:type="spellEnd"/>
      <w:r w:rsidRPr="009253A3">
        <w:rPr>
          <w:rFonts w:ascii="Times New Roman" w:eastAsia="Times New Roman" w:hAnsi="Times New Roman" w:cs="Times New Roman"/>
          <w:iCs w:val="0"/>
          <w:sz w:val="24"/>
          <w:szCs w:val="24"/>
          <w:lang w:val="uk-UA"/>
        </w:rPr>
        <w:t>-кваліфікованого рівня осіб, що перебувають на обліку в службі зайнятості, до потреб ринку праці. Особливо гостра криза стосується молодих фахівців – у зв’язку з вимогами керівників підприємств щодо наявності досвіду роботи.</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t>- більше половини вакансій, які надходять з підприємств, орієнтовані на працевлаштування чоловіків, а на обліку в службі зайнятості, більше жінок.</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t>- проблеми із заповненням вакансій з мінімальною заробітною платою, з вакансій , що надані підприємствами до центру зайнятості, кожна п’ята має рівень мінімальної заробітної плати, одна із самих низьких заробітних плат – це заробітна плата робітників, зайнятих в сільському господарстві.</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Середня заробітна плата сумарно по всіх населених пунктах, що увійшли до складу ОТГ станом на 01 січня 2018 року становила  6000 грн.</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r>
      <w:r w:rsidRPr="009253A3">
        <w:rPr>
          <w:rFonts w:ascii="Times New Roman" w:eastAsia="Times New Roman" w:hAnsi="Times New Roman" w:cs="Times New Roman"/>
          <w:iCs w:val="0"/>
          <w:sz w:val="24"/>
          <w:szCs w:val="24"/>
          <w:lang w:val="uk-UA"/>
        </w:rPr>
        <w:tab/>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b/>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                       </w:t>
      </w:r>
      <w:r w:rsidRPr="009253A3">
        <w:rPr>
          <w:rFonts w:ascii="Times New Roman" w:eastAsia="Times New Roman" w:hAnsi="Times New Roman" w:cs="Times New Roman"/>
          <w:b/>
          <w:iCs w:val="0"/>
          <w:sz w:val="24"/>
          <w:szCs w:val="24"/>
          <w:lang w:val="uk-UA" w:eastAsia="ru-RU"/>
        </w:rPr>
        <w:t xml:space="preserve">2.3. </w:t>
      </w:r>
      <w:r w:rsidRPr="009253A3">
        <w:rPr>
          <w:rFonts w:ascii="Times New Roman" w:eastAsia="Times New Roman" w:hAnsi="Times New Roman" w:cs="Times New Roman"/>
          <w:b/>
          <w:iCs w:val="0"/>
          <w:snapToGrid w:val="0"/>
          <w:sz w:val="24"/>
          <w:szCs w:val="24"/>
          <w:lang w:val="uk-UA" w:eastAsia="ru-RU"/>
        </w:rPr>
        <w:t>Об’єкти соціальної інфраструктури громади</w:t>
      </w:r>
      <w:r w:rsidRPr="009253A3">
        <w:rPr>
          <w:rFonts w:ascii="Times New Roman" w:eastAsia="Times New Roman" w:hAnsi="Times New Roman" w:cs="Times New Roman"/>
          <w:b/>
          <w:iCs w:val="0"/>
          <w:sz w:val="24"/>
          <w:szCs w:val="24"/>
          <w:lang w:val="uk-UA" w:eastAsia="ru-RU"/>
        </w:rPr>
        <w:t xml:space="preserve"> </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tbl>
      <w:tblPr>
        <w:tblW w:w="0" w:type="auto"/>
        <w:tblLayout w:type="fixed"/>
        <w:tblCellMar>
          <w:left w:w="30" w:type="dxa"/>
          <w:right w:w="30" w:type="dxa"/>
        </w:tblCellMar>
        <w:tblLook w:val="0000" w:firstRow="0" w:lastRow="0" w:firstColumn="0" w:lastColumn="0" w:noHBand="0" w:noVBand="0"/>
      </w:tblPr>
      <w:tblGrid>
        <w:gridCol w:w="4141"/>
        <w:gridCol w:w="993"/>
        <w:gridCol w:w="992"/>
        <w:gridCol w:w="992"/>
        <w:gridCol w:w="992"/>
        <w:gridCol w:w="992"/>
      </w:tblGrid>
      <w:tr w:rsidR="00FA1A8F" w:rsidRPr="009253A3" w:rsidTr="00707983">
        <w:tc>
          <w:tcPr>
            <w:tcW w:w="4141" w:type="dxa"/>
            <w:vMerge w:val="restart"/>
            <w:tcBorders>
              <w:top w:val="single" w:sz="6" w:space="0" w:color="auto"/>
              <w:left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Показники на 01.01.2018 року</w:t>
            </w:r>
          </w:p>
        </w:tc>
        <w:tc>
          <w:tcPr>
            <w:tcW w:w="4961" w:type="dxa"/>
            <w:gridSpan w:val="5"/>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По селах</w:t>
            </w:r>
          </w:p>
        </w:tc>
      </w:tr>
      <w:tr w:rsidR="00FA1A8F" w:rsidRPr="009253A3" w:rsidTr="00707983">
        <w:tc>
          <w:tcPr>
            <w:tcW w:w="4141" w:type="dxa"/>
            <w:vMerge/>
            <w:tcBorders>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Переяславське</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Соснова</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Школи</w:t>
            </w:r>
            <w:r w:rsidRPr="009253A3">
              <w:rPr>
                <w:rFonts w:ascii="Times New Roman" w:eastAsia="Times New Roman" w:hAnsi="Times New Roman" w:cs="Times New Roman"/>
                <w:iCs w:val="0"/>
                <w:snapToGrid w:val="0"/>
                <w:color w:val="000000"/>
                <w:sz w:val="24"/>
                <w:szCs w:val="24"/>
                <w:lang w:val="uk-UA"/>
              </w:rPr>
              <w:t xml:space="preserve">: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ЗОШ  І-ІІІ ступеня</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місць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520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77</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ЗОШ  І-ІІ ступеня</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місць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120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Дитячі садки</w:t>
            </w:r>
            <w:r w:rsidRPr="009253A3">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місць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90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96</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16</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roofErr w:type="spellStart"/>
            <w:r w:rsidRPr="009253A3">
              <w:rPr>
                <w:rFonts w:ascii="Times New Roman" w:eastAsia="Times New Roman" w:hAnsi="Times New Roman" w:cs="Times New Roman"/>
                <w:b/>
                <w:iCs w:val="0"/>
                <w:snapToGrid w:val="0"/>
                <w:color w:val="000000"/>
                <w:sz w:val="24"/>
                <w:szCs w:val="24"/>
                <w:lang w:val="uk-UA"/>
              </w:rPr>
              <w:t>Газифікація</w:t>
            </w:r>
            <w:r w:rsidRPr="009253A3">
              <w:rPr>
                <w:rFonts w:ascii="Times New Roman" w:eastAsia="Times New Roman" w:hAnsi="Times New Roman" w:cs="Times New Roman"/>
                <w:iCs w:val="0"/>
                <w:snapToGrid w:val="0"/>
                <w:color w:val="000000"/>
                <w:sz w:val="24"/>
                <w:szCs w:val="24"/>
                <w:lang w:val="uk-UA"/>
              </w:rPr>
              <w:t>:кількість</w:t>
            </w:r>
            <w:proofErr w:type="spellEnd"/>
            <w:r w:rsidRPr="009253A3">
              <w:rPr>
                <w:rFonts w:ascii="Times New Roman" w:eastAsia="Times New Roman" w:hAnsi="Times New Roman" w:cs="Times New Roman"/>
                <w:iCs w:val="0"/>
                <w:snapToGrid w:val="0"/>
                <w:color w:val="000000"/>
                <w:sz w:val="24"/>
                <w:szCs w:val="24"/>
                <w:lang w:val="uk-UA"/>
              </w:rPr>
              <w:t xml:space="preserve"> будинків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302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532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379</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11,6</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Водопроводи</w:t>
            </w:r>
            <w:r w:rsidRPr="009253A3">
              <w:rPr>
                <w:rFonts w:ascii="Times New Roman" w:eastAsia="Times New Roman" w:hAnsi="Times New Roman" w:cs="Times New Roman"/>
                <w:iCs w:val="0"/>
                <w:snapToGrid w:val="0"/>
                <w:color w:val="000000"/>
                <w:sz w:val="24"/>
                <w:szCs w:val="24"/>
                <w:lang w:val="uk-UA"/>
              </w:rPr>
              <w:t>: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412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417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94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 xml:space="preserve">Медичні заклади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lastRenderedPageBreak/>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5</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ФАП</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Амбулаторії: кількість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5</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Лікарні: кількість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Аптеки</w:t>
            </w:r>
            <w:r w:rsidRPr="009253A3">
              <w:rPr>
                <w:rFonts w:ascii="Times New Roman" w:eastAsia="Times New Roman" w:hAnsi="Times New Roman" w:cs="Times New Roman"/>
                <w:iCs w:val="0"/>
                <w:snapToGrid w:val="0"/>
                <w:color w:val="000000"/>
                <w:sz w:val="24"/>
                <w:szCs w:val="24"/>
                <w:lang w:val="uk-UA"/>
              </w:rPr>
              <w:t>: кількість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 xml:space="preserve">Відділення зв'язку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робочих місць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2</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 xml:space="preserve">Телефонізація </w:t>
            </w:r>
            <w:r w:rsidRPr="009253A3">
              <w:rPr>
                <w:rFonts w:ascii="Times New Roman" w:eastAsia="Times New Roman" w:hAnsi="Times New Roman" w:cs="Times New Roman"/>
                <w:iCs w:val="0"/>
                <w:snapToGrid w:val="0"/>
                <w:color w:val="000000"/>
                <w:sz w:val="24"/>
                <w:szCs w:val="24"/>
                <w:lang w:val="uk-UA"/>
              </w:rPr>
              <w:t>(кількість телефонних номерів)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280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60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180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100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128</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Житлові будинки комунальної власності:</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 них квартир</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94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w:t>
            </w:r>
          </w:p>
        </w:tc>
      </w:tr>
    </w:tbl>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b/>
          <w:iCs w:val="0"/>
          <w:sz w:val="24"/>
          <w:szCs w:val="24"/>
          <w:lang w:val="uk-UA"/>
        </w:rPr>
        <w:t>2.4. Транспортна інфраструктура.</w:t>
      </w:r>
      <w:r w:rsidRPr="009253A3">
        <w:rPr>
          <w:rFonts w:ascii="Times New Roman" w:eastAsia="Times New Roman" w:hAnsi="Times New Roman" w:cs="Times New Roman"/>
          <w:iCs w:val="0"/>
          <w:sz w:val="24"/>
          <w:szCs w:val="24"/>
          <w:lang w:val="uk-UA"/>
        </w:rPr>
        <w:t xml:space="preserve"> Дорожня мережа складається з твердого та ґрунтового покриття. Стан доріг в незадовільному стані і потребують капітального ремонту.</w:t>
      </w: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t>На сьогоднішній день для задоволення потреб населення об’єднаної громади Студениківської сільської ради в пасажирських перевезеннях не сформована мережа автобусних маршрутів між населеними пунктами ОТГ.</w:t>
      </w:r>
      <w:r w:rsidRPr="009253A3">
        <w:rPr>
          <w:rFonts w:ascii="Times New Roman" w:eastAsia="Times New Roman" w:hAnsi="Times New Roman" w:cs="Times New Roman"/>
          <w:iCs w:val="0"/>
          <w:sz w:val="24"/>
          <w:szCs w:val="24"/>
          <w:lang w:val="uk-UA"/>
        </w:rPr>
        <w:tab/>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2.4. Туристично-рекреаційна галузь</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        Сільський зелений туризм є одним з найбільш перспективних і ефективних напрямків культурного розвитку Студениківської ОТГ.</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        Проблемним питанням, що гальмує розвиток сільського зеленого туризму в ОТГ є відсутність належних умов для розбудови рекреаційної інфраструктури села та відпочинку населення. На розв’язання цієї проблеми на 2018 рік передбачаються заходи щодо створення нових екологічних та зелених екскурсійних маршрутів, розбудови туристичної інфраструктури, проведення культурно-туристичних заходів.</w:t>
      </w: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2.5. Економіка та фінансовий стан Студениківської об’єднаної територіальної громади</w:t>
      </w: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Відповідно до рішення Студениківської сільської ради від 30.03.2018 р . №107 – 111 -05-VII «Про затвердження звітів про виконання сільських бюджетів за 2018 р.»:</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7"/>
        <w:gridCol w:w="2932"/>
        <w:gridCol w:w="2932"/>
      </w:tblGrid>
      <w:tr w:rsidR="00FA1A8F" w:rsidRPr="009253A3" w:rsidTr="00707983">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Село</w:t>
            </w:r>
          </w:p>
        </w:tc>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Доходи (загальний фонд), </w:t>
            </w:r>
            <w:proofErr w:type="spellStart"/>
            <w:r w:rsidRPr="009253A3">
              <w:rPr>
                <w:rFonts w:ascii="Times New Roman" w:eastAsia="Times New Roman" w:hAnsi="Times New Roman" w:cs="Times New Roman"/>
                <w:iCs w:val="0"/>
                <w:sz w:val="24"/>
                <w:szCs w:val="24"/>
                <w:lang w:val="uk-UA"/>
              </w:rPr>
              <w:t>тис.грн</w:t>
            </w:r>
            <w:proofErr w:type="spellEnd"/>
            <w:r w:rsidRPr="009253A3">
              <w:rPr>
                <w:rFonts w:ascii="Times New Roman" w:eastAsia="Times New Roman" w:hAnsi="Times New Roman" w:cs="Times New Roman"/>
                <w:iCs w:val="0"/>
                <w:sz w:val="24"/>
                <w:szCs w:val="24"/>
                <w:lang w:val="uk-UA"/>
              </w:rPr>
              <w:t>.</w:t>
            </w:r>
          </w:p>
        </w:tc>
        <w:tc>
          <w:tcPr>
            <w:tcW w:w="3191"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Видатки (загальний фонд), </w:t>
            </w:r>
            <w:proofErr w:type="spellStart"/>
            <w:r w:rsidRPr="009253A3">
              <w:rPr>
                <w:rFonts w:ascii="Times New Roman" w:eastAsia="Times New Roman" w:hAnsi="Times New Roman" w:cs="Times New Roman"/>
                <w:iCs w:val="0"/>
                <w:sz w:val="24"/>
                <w:szCs w:val="24"/>
                <w:lang w:val="uk-UA"/>
              </w:rPr>
              <w:t>тис.грн</w:t>
            </w:r>
            <w:proofErr w:type="spellEnd"/>
            <w:r w:rsidRPr="009253A3">
              <w:rPr>
                <w:rFonts w:ascii="Times New Roman" w:eastAsia="Times New Roman" w:hAnsi="Times New Roman" w:cs="Times New Roman"/>
                <w:iCs w:val="0"/>
                <w:sz w:val="24"/>
                <w:szCs w:val="24"/>
                <w:lang w:val="uk-UA"/>
              </w:rPr>
              <w:t>.</w:t>
            </w:r>
          </w:p>
        </w:tc>
      </w:tr>
      <w:tr w:rsidR="00FA1A8F" w:rsidRPr="009253A3" w:rsidTr="00707983">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Студеники</w:t>
            </w:r>
          </w:p>
        </w:tc>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4 761,33</w:t>
            </w:r>
          </w:p>
        </w:tc>
        <w:tc>
          <w:tcPr>
            <w:tcW w:w="3191"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4 498, 07</w:t>
            </w:r>
          </w:p>
        </w:tc>
      </w:tr>
      <w:tr w:rsidR="00FA1A8F" w:rsidRPr="009253A3" w:rsidTr="00707983">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Соснова</w:t>
            </w:r>
          </w:p>
        </w:tc>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881, 55</w:t>
            </w:r>
          </w:p>
        </w:tc>
        <w:tc>
          <w:tcPr>
            <w:tcW w:w="3191"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1 019,07</w:t>
            </w:r>
          </w:p>
        </w:tc>
      </w:tr>
      <w:tr w:rsidR="00FA1A8F" w:rsidRPr="009253A3" w:rsidTr="00707983">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Сомкова Долина</w:t>
            </w:r>
          </w:p>
        </w:tc>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557, 22</w:t>
            </w:r>
          </w:p>
        </w:tc>
        <w:tc>
          <w:tcPr>
            <w:tcW w:w="3191"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754,58</w:t>
            </w:r>
          </w:p>
        </w:tc>
      </w:tr>
      <w:tr w:rsidR="00FA1A8F" w:rsidRPr="009253A3" w:rsidTr="00707983">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Переяславське</w:t>
            </w:r>
          </w:p>
        </w:tc>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6 122,25</w:t>
            </w:r>
          </w:p>
        </w:tc>
        <w:tc>
          <w:tcPr>
            <w:tcW w:w="3191"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3 287,80</w:t>
            </w:r>
          </w:p>
        </w:tc>
      </w:tr>
      <w:tr w:rsidR="00FA1A8F" w:rsidRPr="009253A3" w:rsidTr="00707983">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Козлів</w:t>
            </w:r>
          </w:p>
        </w:tc>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1 041,91</w:t>
            </w:r>
          </w:p>
        </w:tc>
        <w:tc>
          <w:tcPr>
            <w:tcW w:w="3191"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993,82</w:t>
            </w:r>
          </w:p>
        </w:tc>
      </w:tr>
      <w:tr w:rsidR="00FA1A8F" w:rsidRPr="009253A3" w:rsidTr="00707983">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Всього</w:t>
            </w:r>
          </w:p>
        </w:tc>
        <w:tc>
          <w:tcPr>
            <w:tcW w:w="3190"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13 364,26</w:t>
            </w:r>
          </w:p>
        </w:tc>
        <w:tc>
          <w:tcPr>
            <w:tcW w:w="3191" w:type="dxa"/>
          </w:tcPr>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10553,34</w:t>
            </w:r>
          </w:p>
        </w:tc>
      </w:tr>
    </w:tbl>
    <w:p w:rsidR="00FA1A8F" w:rsidRPr="009253A3" w:rsidRDefault="00FA1A8F" w:rsidP="00FA1A8F">
      <w:pPr>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Аналіз сільськогосподарських угідь Студениківської ОТГ</w:t>
      </w:r>
    </w:p>
    <w:tbl>
      <w:tblPr>
        <w:tblW w:w="0" w:type="auto"/>
        <w:tblLayout w:type="fixed"/>
        <w:tblCellMar>
          <w:left w:w="30" w:type="dxa"/>
          <w:right w:w="30" w:type="dxa"/>
        </w:tblCellMar>
        <w:tblLook w:val="0000" w:firstRow="0" w:lastRow="0" w:firstColumn="0" w:lastColumn="0" w:noHBand="0" w:noVBand="0"/>
      </w:tblPr>
      <w:tblGrid>
        <w:gridCol w:w="4141"/>
        <w:gridCol w:w="993"/>
        <w:gridCol w:w="992"/>
        <w:gridCol w:w="992"/>
        <w:gridCol w:w="992"/>
        <w:gridCol w:w="992"/>
      </w:tblGrid>
      <w:tr w:rsidR="00FA1A8F" w:rsidRPr="009253A3" w:rsidTr="00707983">
        <w:tc>
          <w:tcPr>
            <w:tcW w:w="4141" w:type="dxa"/>
            <w:vMerge w:val="restart"/>
            <w:tcBorders>
              <w:top w:val="single" w:sz="6" w:space="0" w:color="auto"/>
              <w:left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Показники</w:t>
            </w: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станом на 01.01.2018 року</w:t>
            </w:r>
          </w:p>
        </w:tc>
        <w:tc>
          <w:tcPr>
            <w:tcW w:w="4961" w:type="dxa"/>
            <w:gridSpan w:val="5"/>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По селах</w:t>
            </w:r>
          </w:p>
        </w:tc>
      </w:tr>
      <w:tr w:rsidR="00FA1A8F" w:rsidRPr="009253A3" w:rsidTr="00707983">
        <w:tc>
          <w:tcPr>
            <w:tcW w:w="4141" w:type="dxa"/>
            <w:vMerge/>
            <w:tcBorders>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Переяславське</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t xml:space="preserve">Сомкова </w:t>
            </w:r>
            <w:r w:rsidRPr="009253A3">
              <w:rPr>
                <w:rFonts w:ascii="Times New Roman" w:eastAsia="Times New Roman" w:hAnsi="Times New Roman" w:cs="Times New Roman"/>
                <w:b/>
                <w:iCs w:val="0"/>
                <w:snapToGrid w:val="0"/>
                <w:color w:val="000000"/>
                <w:sz w:val="24"/>
                <w:szCs w:val="24"/>
                <w:lang w:val="uk-UA"/>
              </w:rPr>
              <w:lastRenderedPageBreak/>
              <w:t>Долина, Соснівка</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9253A3">
              <w:rPr>
                <w:rFonts w:ascii="Times New Roman" w:eastAsia="Times New Roman" w:hAnsi="Times New Roman" w:cs="Times New Roman"/>
                <w:b/>
                <w:iCs w:val="0"/>
                <w:snapToGrid w:val="0"/>
                <w:color w:val="000000"/>
                <w:sz w:val="24"/>
                <w:szCs w:val="24"/>
                <w:lang w:val="uk-UA"/>
              </w:rPr>
              <w:lastRenderedPageBreak/>
              <w:t>Соснова</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lastRenderedPageBreak/>
              <w:t>Площа ділянок особистих селянських господарств,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558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187,5</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158,67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329,1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Кількість особистих селянських господарств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1304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490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379</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499</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Середній розмір ділянки господарства,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0,43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0,38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0,42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065</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Кількість осіб, які мають право на земельну частку (пай)</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580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163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397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561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Площа с/г угідь, визначених для паювання,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2025</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2020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1130,2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ріллі</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2025</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2020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1130,2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сінокосів, пасовищ</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багаторічних насаджень</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Середній розмір земельної частки (паю),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2,77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3,28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2,77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2,84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3,75</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Кількість виданих державних актів на право приватної власності на землю власникам сертифікатів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550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148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561</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Із загальної площі земельних паїв зем</w:t>
            </w:r>
            <w:r w:rsidRPr="009253A3">
              <w:rPr>
                <w:rFonts w:ascii="Times New Roman" w:eastAsia="Times New Roman" w:hAnsi="Times New Roman" w:cs="Times New Roman"/>
                <w:iCs w:val="0"/>
                <w:snapToGrid w:val="0"/>
                <w:color w:val="000000"/>
                <w:sz w:val="24"/>
                <w:szCs w:val="24"/>
                <w:lang w:val="uk-UA"/>
              </w:rPr>
              <w:softHyphen/>
              <w:t>лі, передані в оренду юридичним осо</w:t>
            </w:r>
            <w:r w:rsidRPr="009253A3">
              <w:rPr>
                <w:rFonts w:ascii="Times New Roman" w:eastAsia="Times New Roman" w:hAnsi="Times New Roman" w:cs="Times New Roman"/>
                <w:iCs w:val="0"/>
                <w:snapToGrid w:val="0"/>
                <w:color w:val="000000"/>
                <w:sz w:val="24"/>
                <w:szCs w:val="24"/>
                <w:lang w:val="uk-UA"/>
              </w:rPr>
              <w:softHyphen/>
              <w:t>бам, га, всього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1787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1107,18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рілля</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1787</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1107,18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сінокоси, пасовища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багаторічні насадження</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Площа земельних паїв, передана осо</w:t>
            </w:r>
            <w:r w:rsidRPr="009253A3">
              <w:rPr>
                <w:rFonts w:ascii="Times New Roman" w:eastAsia="Times New Roman" w:hAnsi="Times New Roman" w:cs="Times New Roman"/>
                <w:iCs w:val="0"/>
                <w:snapToGrid w:val="0"/>
                <w:color w:val="000000"/>
                <w:sz w:val="24"/>
                <w:szCs w:val="24"/>
                <w:lang w:val="uk-UA"/>
              </w:rPr>
              <w:softHyphen/>
              <w:t>бистим селянським господарствам,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238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23,02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Кількість сільськогосподарських юридичних осіб, створених на території села, всього, із них: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 фермерських господарств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555,4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376,2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орендованої,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376,2</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 приватно-орендних підприємств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56,23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орендованої,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  ТОВ  </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1175,4</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1625,0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1107,18</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орендованої,  га</w:t>
            </w:r>
          </w:p>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 сільськогосподарських виробничих кооперативів</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в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орендованої,  га</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Інші види (вказати)</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Виплата орендної плати за землю:</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lastRenderedPageBreak/>
              <w:t xml:space="preserve">       належить згідно договорів, грн.</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4891680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5225000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1548500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2745733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4136,8</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фактично </w:t>
            </w:r>
            <w:proofErr w:type="spellStart"/>
            <w:r w:rsidRPr="009253A3">
              <w:rPr>
                <w:rFonts w:ascii="Times New Roman" w:eastAsia="Times New Roman" w:hAnsi="Times New Roman" w:cs="Times New Roman"/>
                <w:iCs w:val="0"/>
                <w:snapToGrid w:val="0"/>
                <w:color w:val="000000"/>
                <w:sz w:val="24"/>
                <w:szCs w:val="24"/>
                <w:lang w:val="uk-UA"/>
              </w:rPr>
              <w:t>виплачено</w:t>
            </w:r>
            <w:proofErr w:type="spellEnd"/>
            <w:r w:rsidRPr="009253A3">
              <w:rPr>
                <w:rFonts w:ascii="Times New Roman" w:eastAsia="Times New Roman" w:hAnsi="Times New Roman" w:cs="Times New Roman"/>
                <w:iCs w:val="0"/>
                <w:snapToGrid w:val="0"/>
                <w:color w:val="000000"/>
                <w:sz w:val="24"/>
                <w:szCs w:val="24"/>
                <w:lang w:val="uk-UA"/>
              </w:rPr>
              <w:t>, грн.</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4891680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5225000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1548500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2745733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4136,8</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xml:space="preserve">. зерном, </w:t>
            </w:r>
            <w:proofErr w:type="spellStart"/>
            <w:r w:rsidRPr="009253A3">
              <w:rPr>
                <w:rFonts w:ascii="Times New Roman" w:eastAsia="Times New Roman" w:hAnsi="Times New Roman" w:cs="Times New Roman"/>
                <w:iCs w:val="0"/>
                <w:snapToGrid w:val="0"/>
                <w:color w:val="000000"/>
                <w:sz w:val="24"/>
                <w:szCs w:val="24"/>
                <w:lang w:val="uk-UA"/>
              </w:rPr>
              <w:t>тонн</w:t>
            </w:r>
            <w:proofErr w:type="spellEnd"/>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грошима, грн.</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4891680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5225000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1548500</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2745733</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4136,8</w:t>
            </w: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Виплата орендної плати за майновий пай:</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належить виплатити, грн.</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фактично </w:t>
            </w:r>
            <w:proofErr w:type="spellStart"/>
            <w:r w:rsidRPr="009253A3">
              <w:rPr>
                <w:rFonts w:ascii="Times New Roman" w:eastAsia="Times New Roman" w:hAnsi="Times New Roman" w:cs="Times New Roman"/>
                <w:iCs w:val="0"/>
                <w:snapToGrid w:val="0"/>
                <w:color w:val="000000"/>
                <w:sz w:val="24"/>
                <w:szCs w:val="24"/>
                <w:lang w:val="uk-UA"/>
              </w:rPr>
              <w:t>виплачено</w:t>
            </w:r>
            <w:proofErr w:type="spellEnd"/>
            <w:r w:rsidRPr="009253A3">
              <w:rPr>
                <w:rFonts w:ascii="Times New Roman" w:eastAsia="Times New Roman" w:hAnsi="Times New Roman" w:cs="Times New Roman"/>
                <w:iCs w:val="0"/>
                <w:snapToGrid w:val="0"/>
                <w:color w:val="000000"/>
                <w:sz w:val="24"/>
                <w:szCs w:val="24"/>
                <w:lang w:val="uk-UA"/>
              </w:rPr>
              <w:t>, грн.</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у </w:t>
            </w:r>
            <w:proofErr w:type="spellStart"/>
            <w:r w:rsidRPr="009253A3">
              <w:rPr>
                <w:rFonts w:ascii="Times New Roman" w:eastAsia="Times New Roman" w:hAnsi="Times New Roman" w:cs="Times New Roman"/>
                <w:iCs w:val="0"/>
                <w:snapToGrid w:val="0"/>
                <w:color w:val="000000"/>
                <w:sz w:val="24"/>
                <w:szCs w:val="24"/>
                <w:lang w:val="uk-UA"/>
              </w:rPr>
              <w:t>т.ч</w:t>
            </w:r>
            <w:proofErr w:type="spellEnd"/>
            <w:r w:rsidRPr="009253A3">
              <w:rPr>
                <w:rFonts w:ascii="Times New Roman" w:eastAsia="Times New Roman" w:hAnsi="Times New Roman" w:cs="Times New Roman"/>
                <w:iCs w:val="0"/>
                <w:snapToGrid w:val="0"/>
                <w:color w:val="000000"/>
                <w:sz w:val="24"/>
                <w:szCs w:val="24"/>
                <w:lang w:val="uk-UA"/>
              </w:rPr>
              <w:t xml:space="preserve">. зерном, </w:t>
            </w:r>
            <w:proofErr w:type="spellStart"/>
            <w:r w:rsidRPr="009253A3">
              <w:rPr>
                <w:rFonts w:ascii="Times New Roman" w:eastAsia="Times New Roman" w:hAnsi="Times New Roman" w:cs="Times New Roman"/>
                <w:iCs w:val="0"/>
                <w:snapToGrid w:val="0"/>
                <w:color w:val="000000"/>
                <w:sz w:val="24"/>
                <w:szCs w:val="24"/>
                <w:lang w:val="uk-UA"/>
              </w:rPr>
              <w:t>тонн</w:t>
            </w:r>
            <w:proofErr w:type="spellEnd"/>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FA1A8F" w:rsidRPr="009253A3" w:rsidTr="00707983">
        <w:tc>
          <w:tcPr>
            <w:tcW w:w="4141"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 xml:space="preserve">                      грошима, грн.</w:t>
            </w:r>
          </w:p>
        </w:tc>
        <w:tc>
          <w:tcPr>
            <w:tcW w:w="993"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9253A3">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FA1A8F" w:rsidRPr="009253A3" w:rsidRDefault="00FA1A8F" w:rsidP="00FA1A8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bl>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ab/>
      </w: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ab/>
        <w:t>На території об’єднаної територіальної громади зареєстровано та працюють більше 30 підприємств малого та середнього бізнесу, з них найбільшими платниками податків є:</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СП ТОВ «Нива Переяславщини»</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ПП «Соснова»</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ФГ «Світ ланів»</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Норкова ферма «</w:t>
      </w:r>
      <w:proofErr w:type="spellStart"/>
      <w:r w:rsidRPr="009253A3">
        <w:rPr>
          <w:rFonts w:ascii="Times New Roman" w:eastAsia="Times New Roman" w:hAnsi="Times New Roman" w:cs="Times New Roman"/>
          <w:iCs w:val="0"/>
          <w:sz w:val="24"/>
          <w:szCs w:val="24"/>
          <w:lang w:val="uk-UA"/>
        </w:rPr>
        <w:t>Пелском</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iCs w:val="0"/>
          <w:sz w:val="24"/>
          <w:szCs w:val="24"/>
          <w:lang w:val="uk-UA"/>
        </w:rPr>
        <w:t>Студениківське</w:t>
      </w:r>
      <w:proofErr w:type="spellEnd"/>
      <w:r w:rsidRPr="009253A3">
        <w:rPr>
          <w:rFonts w:ascii="Times New Roman" w:eastAsia="Times New Roman" w:hAnsi="Times New Roman" w:cs="Times New Roman"/>
          <w:iCs w:val="0"/>
          <w:sz w:val="24"/>
          <w:szCs w:val="24"/>
          <w:lang w:val="uk-UA"/>
        </w:rPr>
        <w:t xml:space="preserve"> лісництво Переяслав-Хмельницького Держлісгоспу</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ТОВ «БРСМ Нафта»</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ПРАТ «ПЕРЕЯСЛАВСЬКИЙ ЕКХП»</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ПП «УКРПАЛЕТСИСТЕМ»</w:t>
      </w:r>
    </w:p>
    <w:p w:rsidR="00FA1A8F" w:rsidRPr="009253A3" w:rsidRDefault="00FA1A8F" w:rsidP="00FA1A8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ТОВ «ТЕХНОСАЛІКС»</w:t>
      </w:r>
    </w:p>
    <w:p w:rsidR="00FA1A8F" w:rsidRPr="009253A3" w:rsidRDefault="00FA1A8F" w:rsidP="00FA1A8F">
      <w:pPr>
        <w:numPr>
          <w:ilvl w:val="1"/>
          <w:numId w:val="24"/>
        </w:numPr>
        <w:spacing w:before="100" w:beforeAutospacing="1" w:after="100" w:afterAutospacing="1" w:line="240" w:lineRule="auto"/>
        <w:contextualSpacing/>
        <w:rPr>
          <w:rFonts w:ascii="Times New Roman" w:eastAsia="Times New Roman" w:hAnsi="Times New Roman" w:cs="Times New Roman"/>
          <w:b/>
          <w:iCs w:val="0"/>
          <w:sz w:val="24"/>
          <w:szCs w:val="24"/>
          <w:lang w:val="uk-UA" w:eastAsia="ru-RU"/>
        </w:rPr>
      </w:pPr>
      <w:r w:rsidRPr="009253A3">
        <w:rPr>
          <w:rFonts w:ascii="Times New Roman" w:eastAsia="Times New Roman" w:hAnsi="Times New Roman" w:cs="Times New Roman"/>
          <w:b/>
          <w:bCs/>
          <w:iCs w:val="0"/>
          <w:sz w:val="24"/>
          <w:szCs w:val="24"/>
          <w:lang w:val="uk-UA" w:eastAsia="ru-RU"/>
        </w:rPr>
        <w:t xml:space="preserve">Сфера охорони </w:t>
      </w:r>
      <w:proofErr w:type="spellStart"/>
      <w:r w:rsidRPr="009253A3">
        <w:rPr>
          <w:rFonts w:ascii="Times New Roman" w:eastAsia="Times New Roman" w:hAnsi="Times New Roman" w:cs="Times New Roman"/>
          <w:b/>
          <w:bCs/>
          <w:iCs w:val="0"/>
          <w:sz w:val="24"/>
          <w:szCs w:val="24"/>
          <w:lang w:val="uk-UA" w:eastAsia="ru-RU"/>
        </w:rPr>
        <w:t>здоровя</w:t>
      </w:r>
      <w:proofErr w:type="spellEnd"/>
      <w:r w:rsidRPr="009253A3">
        <w:rPr>
          <w:rFonts w:ascii="Times New Roman" w:eastAsia="Times New Roman" w:hAnsi="Times New Roman" w:cs="Times New Roman"/>
          <w:b/>
          <w:bCs/>
          <w:iCs w:val="0"/>
          <w:sz w:val="24"/>
          <w:szCs w:val="24"/>
          <w:lang w:val="uk-UA" w:eastAsia="ru-RU"/>
        </w:rPr>
        <w:t>:</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В ОТГ  функціонують шість медичних установ:</w:t>
      </w:r>
    </w:p>
    <w:p w:rsidR="00FA1A8F" w:rsidRPr="009253A3" w:rsidRDefault="00FA1A8F" w:rsidP="00FA1A8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Студениківська  амбулаторія загальної практики-сімейної медицини;</w:t>
      </w:r>
    </w:p>
    <w:p w:rsidR="00FA1A8F" w:rsidRPr="009253A3" w:rsidRDefault="00FA1A8F" w:rsidP="00FA1A8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Переяславська амбулаторія загальної практики-сімейної медицини;</w:t>
      </w:r>
    </w:p>
    <w:p w:rsidR="00FA1A8F" w:rsidRPr="009253A3" w:rsidRDefault="00FA1A8F" w:rsidP="00FA1A8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proofErr w:type="spellStart"/>
      <w:r w:rsidRPr="009253A3">
        <w:rPr>
          <w:rFonts w:ascii="Times New Roman" w:eastAsia="Times New Roman" w:hAnsi="Times New Roman" w:cs="Times New Roman"/>
          <w:iCs w:val="0"/>
          <w:sz w:val="24"/>
          <w:szCs w:val="24"/>
          <w:lang w:val="uk-UA"/>
        </w:rPr>
        <w:t>Соснівська</w:t>
      </w:r>
      <w:proofErr w:type="spellEnd"/>
      <w:r w:rsidRPr="009253A3">
        <w:rPr>
          <w:rFonts w:ascii="Times New Roman" w:eastAsia="Times New Roman" w:hAnsi="Times New Roman" w:cs="Times New Roman"/>
          <w:iCs w:val="0"/>
          <w:sz w:val="24"/>
          <w:szCs w:val="24"/>
          <w:lang w:val="uk-UA"/>
        </w:rPr>
        <w:t xml:space="preserve"> амбулаторія</w:t>
      </w:r>
    </w:p>
    <w:p w:rsidR="00FA1A8F" w:rsidRPr="009253A3" w:rsidRDefault="00FA1A8F" w:rsidP="00FA1A8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ФАП </w:t>
      </w:r>
      <w:proofErr w:type="spellStart"/>
      <w:r w:rsidRPr="009253A3">
        <w:rPr>
          <w:rFonts w:ascii="Times New Roman" w:eastAsia="Times New Roman" w:hAnsi="Times New Roman" w:cs="Times New Roman"/>
          <w:iCs w:val="0"/>
          <w:sz w:val="24"/>
          <w:szCs w:val="24"/>
          <w:lang w:val="uk-UA"/>
        </w:rPr>
        <w:t>с.Козлів</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ФАП с. Сомкова Долина;</w:t>
      </w:r>
    </w:p>
    <w:p w:rsidR="00FA1A8F" w:rsidRPr="009253A3" w:rsidRDefault="00FA1A8F" w:rsidP="00FA1A8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ФАП </w:t>
      </w:r>
      <w:proofErr w:type="spellStart"/>
      <w:r w:rsidRPr="009253A3">
        <w:rPr>
          <w:rFonts w:ascii="Times New Roman" w:eastAsia="Times New Roman" w:hAnsi="Times New Roman" w:cs="Times New Roman"/>
          <w:iCs w:val="0"/>
          <w:sz w:val="24"/>
          <w:szCs w:val="24"/>
          <w:lang w:val="uk-UA"/>
        </w:rPr>
        <w:t>с.Соснова</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Дані заклади утримуються за рахунок коштів медичної субвенції та коштів місцевого бюджету.</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Найбільшими проблемами медичних закладів ОТГ є відсутність сучасного медичного обладнання та спеціалістів. Крім того, діючі медичні заклади на території громади надають лише первинний рівень допомоги, отримання другого рівня в даний час здійснюється Переяслав-Хмельницькою ЦРЛ.</w:t>
      </w:r>
    </w:p>
    <w:p w:rsidR="00FA1A8F" w:rsidRPr="009253A3" w:rsidRDefault="00FA1A8F" w:rsidP="00FA1A8F">
      <w:pPr>
        <w:numPr>
          <w:ilvl w:val="1"/>
          <w:numId w:val="24"/>
        </w:numPr>
        <w:spacing w:before="100" w:beforeAutospacing="1" w:after="100" w:afterAutospacing="1" w:line="240" w:lineRule="auto"/>
        <w:contextualSpacing/>
        <w:rPr>
          <w:rFonts w:ascii="Times New Roman" w:eastAsia="Times New Roman" w:hAnsi="Times New Roman" w:cs="Times New Roman"/>
          <w:b/>
          <w:iCs w:val="0"/>
          <w:sz w:val="24"/>
          <w:szCs w:val="24"/>
          <w:lang w:val="uk-UA" w:eastAsia="ru-RU"/>
        </w:rPr>
      </w:pPr>
      <w:r w:rsidRPr="009253A3">
        <w:rPr>
          <w:rFonts w:ascii="Times New Roman" w:eastAsia="Times New Roman" w:hAnsi="Times New Roman" w:cs="Times New Roman"/>
          <w:b/>
          <w:bCs/>
          <w:iCs w:val="0"/>
          <w:sz w:val="24"/>
          <w:szCs w:val="24"/>
          <w:lang w:val="uk-UA" w:eastAsia="ru-RU"/>
        </w:rPr>
        <w:t>Сфера освіти:</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 На території об’єднаної громади діють: Опорний навчальний заклад </w:t>
      </w:r>
      <w:proofErr w:type="spellStart"/>
      <w:r w:rsidRPr="009253A3">
        <w:rPr>
          <w:rFonts w:ascii="Times New Roman" w:eastAsia="Times New Roman" w:hAnsi="Times New Roman" w:cs="Times New Roman"/>
          <w:iCs w:val="0"/>
          <w:sz w:val="24"/>
          <w:szCs w:val="24"/>
          <w:lang w:val="uk-UA" w:eastAsia="ru-RU"/>
        </w:rPr>
        <w:t>Студениківський</w:t>
      </w:r>
      <w:proofErr w:type="spellEnd"/>
      <w:r w:rsidRPr="009253A3">
        <w:rPr>
          <w:rFonts w:ascii="Times New Roman" w:eastAsia="Times New Roman" w:hAnsi="Times New Roman" w:cs="Times New Roman"/>
          <w:iCs w:val="0"/>
          <w:sz w:val="24"/>
          <w:szCs w:val="24"/>
          <w:lang w:val="uk-UA" w:eastAsia="ru-RU"/>
        </w:rPr>
        <w:t xml:space="preserve"> навчально-виховний </w:t>
      </w:r>
      <w:proofErr w:type="spellStart"/>
      <w:r w:rsidRPr="009253A3">
        <w:rPr>
          <w:rFonts w:ascii="Times New Roman" w:eastAsia="Times New Roman" w:hAnsi="Times New Roman" w:cs="Times New Roman"/>
          <w:iCs w:val="0"/>
          <w:sz w:val="24"/>
          <w:szCs w:val="24"/>
          <w:lang w:val="uk-UA" w:eastAsia="ru-RU"/>
        </w:rPr>
        <w:t>комплекс«загальноосвітня</w:t>
      </w:r>
      <w:proofErr w:type="spellEnd"/>
      <w:r w:rsidRPr="009253A3">
        <w:rPr>
          <w:rFonts w:ascii="Times New Roman" w:eastAsia="Times New Roman" w:hAnsi="Times New Roman" w:cs="Times New Roman"/>
          <w:iCs w:val="0"/>
          <w:sz w:val="24"/>
          <w:szCs w:val="24"/>
          <w:lang w:val="uk-UA" w:eastAsia="ru-RU"/>
        </w:rPr>
        <w:t xml:space="preserve"> школа І-ІІІ ступенів-дошкільний навчальний заклад», Переяславський НВК «ЗОШ І-ІІІ </w:t>
      </w:r>
      <w:proofErr w:type="spellStart"/>
      <w:r w:rsidRPr="009253A3">
        <w:rPr>
          <w:rFonts w:ascii="Times New Roman" w:eastAsia="Times New Roman" w:hAnsi="Times New Roman" w:cs="Times New Roman"/>
          <w:iCs w:val="0"/>
          <w:sz w:val="24"/>
          <w:szCs w:val="24"/>
          <w:lang w:val="uk-UA" w:eastAsia="ru-RU"/>
        </w:rPr>
        <w:t>ступнів</w:t>
      </w:r>
      <w:proofErr w:type="spellEnd"/>
      <w:r w:rsidRPr="009253A3">
        <w:rPr>
          <w:rFonts w:ascii="Times New Roman" w:eastAsia="Times New Roman" w:hAnsi="Times New Roman" w:cs="Times New Roman"/>
          <w:iCs w:val="0"/>
          <w:sz w:val="24"/>
          <w:szCs w:val="24"/>
          <w:lang w:val="uk-UA" w:eastAsia="ru-RU"/>
        </w:rPr>
        <w:t xml:space="preserve"> - ДНЗ» , </w:t>
      </w:r>
      <w:proofErr w:type="spellStart"/>
      <w:r w:rsidRPr="009253A3">
        <w:rPr>
          <w:rFonts w:ascii="Times New Roman" w:eastAsia="Times New Roman" w:hAnsi="Times New Roman" w:cs="Times New Roman"/>
          <w:iCs w:val="0"/>
          <w:sz w:val="24"/>
          <w:szCs w:val="24"/>
          <w:lang w:val="uk-UA" w:eastAsia="ru-RU"/>
        </w:rPr>
        <w:t>Соснівське</w:t>
      </w:r>
      <w:proofErr w:type="spellEnd"/>
      <w:r w:rsidRPr="009253A3">
        <w:rPr>
          <w:rFonts w:ascii="Times New Roman" w:eastAsia="Times New Roman" w:hAnsi="Times New Roman" w:cs="Times New Roman"/>
          <w:iCs w:val="0"/>
          <w:sz w:val="24"/>
          <w:szCs w:val="24"/>
          <w:lang w:val="uk-UA" w:eastAsia="ru-RU"/>
        </w:rPr>
        <w:t xml:space="preserve"> НВО «ЗОШ І-ІІІ ступенів - ДНЗ», </w:t>
      </w:r>
      <w:proofErr w:type="spellStart"/>
      <w:r w:rsidRPr="009253A3">
        <w:rPr>
          <w:rFonts w:ascii="Times New Roman" w:eastAsia="Times New Roman" w:hAnsi="Times New Roman" w:cs="Times New Roman"/>
          <w:iCs w:val="0"/>
          <w:sz w:val="24"/>
          <w:szCs w:val="24"/>
          <w:lang w:val="uk-UA" w:eastAsia="ru-RU"/>
        </w:rPr>
        <w:t>Студениківський</w:t>
      </w:r>
      <w:proofErr w:type="spellEnd"/>
      <w:r w:rsidRPr="009253A3">
        <w:rPr>
          <w:rFonts w:ascii="Times New Roman" w:eastAsia="Times New Roman" w:hAnsi="Times New Roman" w:cs="Times New Roman"/>
          <w:iCs w:val="0"/>
          <w:sz w:val="24"/>
          <w:szCs w:val="24"/>
          <w:lang w:val="uk-UA" w:eastAsia="ru-RU"/>
        </w:rPr>
        <w:t xml:space="preserve"> ДНЗ, у яких станом на 01.01.2018 року навчається 375 учнів та 130 дошкільного віку.</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Будівлі навчальних закладів потребують поточного та капітального ремонтів, зокрема Переяславський НВК «ЗОШ І-ІІІ ст..-ДНЗ» потребує капітального ремонту будівлі та благоустрою території, ОНЗ </w:t>
      </w:r>
      <w:proofErr w:type="spellStart"/>
      <w:r w:rsidRPr="009253A3">
        <w:rPr>
          <w:rFonts w:ascii="Times New Roman" w:eastAsia="Times New Roman" w:hAnsi="Times New Roman" w:cs="Times New Roman"/>
          <w:iCs w:val="0"/>
          <w:sz w:val="24"/>
          <w:szCs w:val="24"/>
          <w:lang w:val="uk-UA" w:eastAsia="ru-RU"/>
        </w:rPr>
        <w:t>Студениківський</w:t>
      </w:r>
      <w:proofErr w:type="spellEnd"/>
      <w:r w:rsidRPr="009253A3">
        <w:rPr>
          <w:rFonts w:ascii="Times New Roman" w:eastAsia="Times New Roman" w:hAnsi="Times New Roman" w:cs="Times New Roman"/>
          <w:iCs w:val="0"/>
          <w:sz w:val="24"/>
          <w:szCs w:val="24"/>
          <w:lang w:val="uk-UA" w:eastAsia="ru-RU"/>
        </w:rPr>
        <w:t xml:space="preserve"> НВК потребує утеплення та заміни даху.</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w:t>
      </w:r>
      <w:r w:rsidRPr="009253A3">
        <w:rPr>
          <w:rFonts w:ascii="Times New Roman" w:eastAsia="Times New Roman" w:hAnsi="Times New Roman" w:cs="Times New Roman"/>
          <w:b/>
          <w:iCs w:val="0"/>
          <w:sz w:val="24"/>
          <w:szCs w:val="24"/>
          <w:lang w:val="uk-UA" w:eastAsia="ru-RU"/>
        </w:rPr>
        <w:t xml:space="preserve">2.8.  </w:t>
      </w:r>
      <w:r w:rsidRPr="009253A3">
        <w:rPr>
          <w:rFonts w:ascii="Times New Roman" w:eastAsia="Times New Roman" w:hAnsi="Times New Roman" w:cs="Times New Roman"/>
          <w:b/>
          <w:bCs/>
          <w:iCs w:val="0"/>
          <w:sz w:val="24"/>
          <w:szCs w:val="24"/>
          <w:lang w:val="uk-UA" w:eastAsia="ru-RU"/>
        </w:rPr>
        <w:t>Сфера фізичної культури та спорту:</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Фізична культура та спорт в громаді розвивається в основному на рівні навчальних закладів.  Саме тому сфера фізичної культури та спорту потребує розвитку, зокрема ремонту спортивних залів при будинках культури, благоустрою стадіонів та створення умов для відкриття спортивних гуртків і секцій.     </w:t>
      </w:r>
    </w:p>
    <w:p w:rsidR="00FA1A8F" w:rsidRPr="009253A3" w:rsidRDefault="00FA1A8F" w:rsidP="00FA1A8F">
      <w:pPr>
        <w:numPr>
          <w:ilvl w:val="1"/>
          <w:numId w:val="24"/>
        </w:numPr>
        <w:spacing w:before="100" w:beforeAutospacing="1" w:after="100" w:afterAutospacing="1" w:line="240" w:lineRule="auto"/>
        <w:contextualSpacing/>
        <w:rPr>
          <w:rFonts w:ascii="Times New Roman" w:eastAsia="Times New Roman" w:hAnsi="Times New Roman" w:cs="Times New Roman"/>
          <w:b/>
          <w:iCs w:val="0"/>
          <w:sz w:val="24"/>
          <w:szCs w:val="24"/>
          <w:lang w:val="uk-UA" w:eastAsia="ru-RU"/>
        </w:rPr>
      </w:pPr>
      <w:r w:rsidRPr="009253A3">
        <w:rPr>
          <w:rFonts w:ascii="Times New Roman" w:eastAsia="Times New Roman" w:hAnsi="Times New Roman" w:cs="Times New Roman"/>
          <w:b/>
          <w:bCs/>
          <w:iCs w:val="0"/>
          <w:sz w:val="24"/>
          <w:szCs w:val="24"/>
          <w:lang w:val="uk-UA" w:eastAsia="ru-RU"/>
        </w:rPr>
        <w:t>Сфера культури та духовності:</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lastRenderedPageBreak/>
        <w:t> На території громади розташовані наступні заклади культури і духовності:</w:t>
      </w:r>
    </w:p>
    <w:p w:rsidR="00FA1A8F" w:rsidRPr="009253A3" w:rsidRDefault="00FA1A8F" w:rsidP="00FA1A8F">
      <w:pPr>
        <w:numPr>
          <w:ilvl w:val="0"/>
          <w:numId w:val="26"/>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Будинки культури с. Студеники, </w:t>
      </w:r>
      <w:proofErr w:type="spellStart"/>
      <w:r w:rsidRPr="009253A3">
        <w:rPr>
          <w:rFonts w:ascii="Times New Roman" w:eastAsia="Times New Roman" w:hAnsi="Times New Roman" w:cs="Times New Roman"/>
          <w:iCs w:val="0"/>
          <w:sz w:val="24"/>
          <w:szCs w:val="24"/>
          <w:lang w:val="uk-UA"/>
        </w:rPr>
        <w:t>с.Козлів</w:t>
      </w:r>
      <w:proofErr w:type="spellEnd"/>
      <w:r w:rsidRPr="009253A3">
        <w:rPr>
          <w:rFonts w:ascii="Times New Roman" w:eastAsia="Times New Roman" w:hAnsi="Times New Roman" w:cs="Times New Roman"/>
          <w:iCs w:val="0"/>
          <w:sz w:val="24"/>
          <w:szCs w:val="24"/>
          <w:lang w:val="uk-UA"/>
        </w:rPr>
        <w:t xml:space="preserve">, </w:t>
      </w:r>
      <w:proofErr w:type="spellStart"/>
      <w:r w:rsidRPr="009253A3">
        <w:rPr>
          <w:rFonts w:ascii="Times New Roman" w:eastAsia="Times New Roman" w:hAnsi="Times New Roman" w:cs="Times New Roman"/>
          <w:iCs w:val="0"/>
          <w:sz w:val="24"/>
          <w:szCs w:val="24"/>
          <w:lang w:val="uk-UA"/>
        </w:rPr>
        <w:t>с.Соснова</w:t>
      </w:r>
      <w:proofErr w:type="spellEnd"/>
      <w:r w:rsidRPr="009253A3">
        <w:rPr>
          <w:rFonts w:ascii="Times New Roman" w:eastAsia="Times New Roman" w:hAnsi="Times New Roman" w:cs="Times New Roman"/>
          <w:iCs w:val="0"/>
          <w:sz w:val="24"/>
          <w:szCs w:val="24"/>
          <w:lang w:val="uk-UA"/>
        </w:rPr>
        <w:t xml:space="preserve">, </w:t>
      </w:r>
      <w:proofErr w:type="spellStart"/>
      <w:r w:rsidRPr="009253A3">
        <w:rPr>
          <w:rFonts w:ascii="Times New Roman" w:eastAsia="Times New Roman" w:hAnsi="Times New Roman" w:cs="Times New Roman"/>
          <w:iCs w:val="0"/>
          <w:sz w:val="24"/>
          <w:szCs w:val="24"/>
          <w:lang w:val="uk-UA"/>
        </w:rPr>
        <w:t>с.Соснівка</w:t>
      </w:r>
      <w:proofErr w:type="spellEnd"/>
      <w:r w:rsidRPr="009253A3">
        <w:rPr>
          <w:rFonts w:ascii="Times New Roman" w:eastAsia="Times New Roman" w:hAnsi="Times New Roman" w:cs="Times New Roman"/>
          <w:iCs w:val="0"/>
          <w:sz w:val="24"/>
          <w:szCs w:val="24"/>
          <w:lang w:val="uk-UA"/>
        </w:rPr>
        <w:t xml:space="preserve">, </w:t>
      </w:r>
      <w:proofErr w:type="spellStart"/>
      <w:r w:rsidRPr="009253A3">
        <w:rPr>
          <w:rFonts w:ascii="Times New Roman" w:eastAsia="Times New Roman" w:hAnsi="Times New Roman" w:cs="Times New Roman"/>
          <w:iCs w:val="0"/>
          <w:sz w:val="24"/>
          <w:szCs w:val="24"/>
          <w:lang w:val="uk-UA"/>
        </w:rPr>
        <w:t>с.Переяславське</w:t>
      </w:r>
      <w:proofErr w:type="spellEnd"/>
      <w:r w:rsidRPr="009253A3">
        <w:rPr>
          <w:rFonts w:ascii="Times New Roman" w:eastAsia="Times New Roman" w:hAnsi="Times New Roman" w:cs="Times New Roman"/>
          <w:iCs w:val="0"/>
          <w:sz w:val="24"/>
          <w:szCs w:val="24"/>
          <w:lang w:val="uk-UA"/>
        </w:rPr>
        <w:t xml:space="preserve">, </w:t>
      </w:r>
      <w:proofErr w:type="spellStart"/>
      <w:r w:rsidRPr="009253A3">
        <w:rPr>
          <w:rFonts w:ascii="Times New Roman" w:eastAsia="Times New Roman" w:hAnsi="Times New Roman" w:cs="Times New Roman"/>
          <w:iCs w:val="0"/>
          <w:sz w:val="24"/>
          <w:szCs w:val="24"/>
          <w:lang w:val="uk-UA"/>
        </w:rPr>
        <w:t>с.Сомкова</w:t>
      </w:r>
      <w:proofErr w:type="spellEnd"/>
      <w:r w:rsidRPr="009253A3">
        <w:rPr>
          <w:rFonts w:ascii="Times New Roman" w:eastAsia="Times New Roman" w:hAnsi="Times New Roman" w:cs="Times New Roman"/>
          <w:iCs w:val="0"/>
          <w:sz w:val="24"/>
          <w:szCs w:val="24"/>
          <w:lang w:val="uk-UA"/>
        </w:rPr>
        <w:t xml:space="preserve"> Долина;</w:t>
      </w:r>
    </w:p>
    <w:p w:rsidR="00FA1A8F" w:rsidRPr="009253A3" w:rsidRDefault="00FA1A8F" w:rsidP="00FA1A8F">
      <w:pPr>
        <w:numPr>
          <w:ilvl w:val="0"/>
          <w:numId w:val="26"/>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Бібліотеки  </w:t>
      </w:r>
    </w:p>
    <w:p w:rsidR="00FA1A8F" w:rsidRPr="009253A3" w:rsidRDefault="00FA1A8F" w:rsidP="00FA1A8F">
      <w:pPr>
        <w:numPr>
          <w:ilvl w:val="0"/>
          <w:numId w:val="26"/>
        </w:num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УПЦ Покрови Божої Матері (</w:t>
      </w:r>
      <w:proofErr w:type="spellStart"/>
      <w:r w:rsidRPr="009253A3">
        <w:rPr>
          <w:rFonts w:ascii="Times New Roman" w:eastAsia="Times New Roman" w:hAnsi="Times New Roman" w:cs="Times New Roman"/>
          <w:iCs w:val="0"/>
          <w:sz w:val="24"/>
          <w:szCs w:val="24"/>
          <w:lang w:val="uk-UA"/>
        </w:rPr>
        <w:t>с.Студеники</w:t>
      </w:r>
      <w:proofErr w:type="spellEnd"/>
      <w:r w:rsidRPr="009253A3">
        <w:rPr>
          <w:rFonts w:ascii="Times New Roman" w:eastAsia="Times New Roman" w:hAnsi="Times New Roman" w:cs="Times New Roman"/>
          <w:iCs w:val="0"/>
          <w:sz w:val="24"/>
          <w:szCs w:val="24"/>
          <w:lang w:val="uk-UA"/>
        </w:rPr>
        <w:t xml:space="preserve">), </w:t>
      </w:r>
      <w:proofErr w:type="spellStart"/>
      <w:r w:rsidRPr="009253A3">
        <w:rPr>
          <w:rFonts w:ascii="Times New Roman" w:eastAsia="Times New Roman" w:hAnsi="Times New Roman" w:cs="Times New Roman"/>
          <w:iCs w:val="0"/>
          <w:sz w:val="24"/>
          <w:szCs w:val="24"/>
          <w:lang w:val="uk-UA"/>
        </w:rPr>
        <w:t>Дмитрівська</w:t>
      </w:r>
      <w:proofErr w:type="spellEnd"/>
      <w:r w:rsidRPr="009253A3">
        <w:rPr>
          <w:rFonts w:ascii="Times New Roman" w:eastAsia="Times New Roman" w:hAnsi="Times New Roman" w:cs="Times New Roman"/>
          <w:iCs w:val="0"/>
          <w:sz w:val="24"/>
          <w:szCs w:val="24"/>
          <w:lang w:val="uk-UA"/>
        </w:rPr>
        <w:t xml:space="preserve"> УПЦ (</w:t>
      </w:r>
      <w:proofErr w:type="spellStart"/>
      <w:r w:rsidRPr="009253A3">
        <w:rPr>
          <w:rFonts w:ascii="Times New Roman" w:eastAsia="Times New Roman" w:hAnsi="Times New Roman" w:cs="Times New Roman"/>
          <w:iCs w:val="0"/>
          <w:sz w:val="24"/>
          <w:szCs w:val="24"/>
          <w:lang w:val="uk-UA"/>
        </w:rPr>
        <w:t>с.Соснова</w:t>
      </w:r>
      <w:proofErr w:type="spellEnd"/>
      <w:r w:rsidRPr="009253A3">
        <w:rPr>
          <w:rFonts w:ascii="Times New Roman" w:eastAsia="Times New Roman" w:hAnsi="Times New Roman" w:cs="Times New Roman"/>
          <w:iCs w:val="0"/>
          <w:sz w:val="24"/>
          <w:szCs w:val="24"/>
          <w:lang w:val="uk-UA"/>
        </w:rPr>
        <w:t>), УПЦ Олександра Невського та Троїцька каплиця (</w:t>
      </w:r>
      <w:proofErr w:type="spellStart"/>
      <w:r w:rsidRPr="009253A3">
        <w:rPr>
          <w:rFonts w:ascii="Times New Roman" w:eastAsia="Times New Roman" w:hAnsi="Times New Roman" w:cs="Times New Roman"/>
          <w:iCs w:val="0"/>
          <w:sz w:val="24"/>
          <w:szCs w:val="24"/>
          <w:lang w:val="uk-UA"/>
        </w:rPr>
        <w:t>с.Сомкова</w:t>
      </w:r>
      <w:proofErr w:type="spellEnd"/>
      <w:r w:rsidRPr="009253A3">
        <w:rPr>
          <w:rFonts w:ascii="Times New Roman" w:eastAsia="Times New Roman" w:hAnsi="Times New Roman" w:cs="Times New Roman"/>
          <w:iCs w:val="0"/>
          <w:sz w:val="24"/>
          <w:szCs w:val="24"/>
          <w:lang w:val="uk-UA"/>
        </w:rPr>
        <w:t xml:space="preserve"> Долина), УПЦ Михайлівська (</w:t>
      </w:r>
      <w:proofErr w:type="spellStart"/>
      <w:r w:rsidRPr="009253A3">
        <w:rPr>
          <w:rFonts w:ascii="Times New Roman" w:eastAsia="Times New Roman" w:hAnsi="Times New Roman" w:cs="Times New Roman"/>
          <w:iCs w:val="0"/>
          <w:sz w:val="24"/>
          <w:szCs w:val="24"/>
          <w:lang w:val="uk-UA"/>
        </w:rPr>
        <w:t>с.Переяславське</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В культурних закладах працюють гуртки художньої самодіяльності, проводяться святкові заходи, концерти, збори. При закладах культури працює 8 гуртків.</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         Разом з тим приміщення потребують капітального та поточного ремонтів, встановлення систем опалення.  В приміщенні будинку культури </w:t>
      </w:r>
      <w:proofErr w:type="spellStart"/>
      <w:r w:rsidRPr="009253A3">
        <w:rPr>
          <w:rFonts w:ascii="Times New Roman" w:eastAsia="Times New Roman" w:hAnsi="Times New Roman" w:cs="Times New Roman"/>
          <w:iCs w:val="0"/>
          <w:sz w:val="24"/>
          <w:szCs w:val="24"/>
          <w:lang w:val="uk-UA"/>
        </w:rPr>
        <w:t>с.Соснівка</w:t>
      </w:r>
      <w:proofErr w:type="spellEnd"/>
      <w:r w:rsidRPr="009253A3">
        <w:rPr>
          <w:rFonts w:ascii="Times New Roman" w:eastAsia="Times New Roman" w:hAnsi="Times New Roman" w:cs="Times New Roman"/>
          <w:iCs w:val="0"/>
          <w:sz w:val="24"/>
          <w:szCs w:val="24"/>
          <w:lang w:val="uk-UA"/>
        </w:rPr>
        <w:t xml:space="preserve"> буде проведено ремонт.</w:t>
      </w:r>
    </w:p>
    <w:p w:rsidR="00FA1A8F" w:rsidRPr="009253A3" w:rsidRDefault="00FA1A8F" w:rsidP="00FA1A8F">
      <w:pPr>
        <w:numPr>
          <w:ilvl w:val="1"/>
          <w:numId w:val="2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iCs w:val="0"/>
          <w:sz w:val="24"/>
          <w:szCs w:val="24"/>
          <w:lang w:val="uk-UA"/>
        </w:rPr>
        <w:t> </w:t>
      </w:r>
      <w:r w:rsidRPr="009253A3">
        <w:rPr>
          <w:rFonts w:ascii="Times New Roman" w:eastAsia="Times New Roman" w:hAnsi="Times New Roman" w:cs="Times New Roman"/>
          <w:b/>
          <w:bCs/>
          <w:iCs w:val="0"/>
          <w:sz w:val="24"/>
          <w:szCs w:val="24"/>
          <w:lang w:val="uk-UA"/>
        </w:rPr>
        <w:t>Результати SWOT-аналізу</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ab/>
        <w:t>План соціально-економічного розвитку Студениківської об’єднаної територіальної громади на 2018 рік базується на врахуванні конкурентних переваг та обмежень, які представлені у вигляді SWOT-аналізу.</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ab/>
        <w:t>SWOT-аналіз є  найбільш популярним аналітичним методом. Він використовується у всіх областях стратегічного планування в якості основного інструменту стратегічного аналізу. Даний аналіз є основою для виявлення і формування основних проблем та стратегічних питань.</w:t>
      </w: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p>
    <w:p w:rsidR="00FA1A8F" w:rsidRPr="009253A3" w:rsidRDefault="00FA1A8F" w:rsidP="00FA1A8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iCs w:val="0"/>
          <w:sz w:val="24"/>
          <w:szCs w:val="24"/>
          <w:lang w:val="uk-UA"/>
        </w:rPr>
        <w:tab/>
      </w:r>
      <w:r w:rsidRPr="009253A3">
        <w:rPr>
          <w:rFonts w:ascii="Times New Roman" w:eastAsia="Times New Roman" w:hAnsi="Times New Roman" w:cs="Times New Roman"/>
          <w:b/>
          <w:iCs w:val="0"/>
          <w:sz w:val="24"/>
          <w:szCs w:val="24"/>
          <w:lang w:val="uk-UA"/>
        </w:rPr>
        <w:t>Розвиток бізнесу та залучення інвестицій</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FA1A8F" w:rsidRPr="009253A3" w:rsidTr="00707983">
        <w:tc>
          <w:tcPr>
            <w:tcW w:w="3686"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Сильні сторони</w:t>
            </w:r>
          </w:p>
        </w:tc>
        <w:tc>
          <w:tcPr>
            <w:tcW w:w="5954"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Слабкі сторони</w:t>
            </w:r>
          </w:p>
        </w:tc>
      </w:tr>
      <w:tr w:rsidR="00FA1A8F" w:rsidRPr="009253A3" w:rsidTr="00707983">
        <w:tc>
          <w:tcPr>
            <w:tcW w:w="3686" w:type="dxa"/>
          </w:tcPr>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вигідне географічне і транспортне положення громади;</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розвинута фінансова, телекомунікаційна, транспортна інфраструктура;</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політика місцевої влади направлена на підтримку розвитку малого і середнього бізнесу, заявлений курс на залучення інвестицій і створення для цього необхідних умов;</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наявність вільних сегментів для ведення бізнесу;</w:t>
            </w: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ефективної інфраструктури підтримки бізнесу;</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Центру надання адміністративних послуг;</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необхідність спрощення дозвільних процедур, втрата часу на оформлення документів дозвільного характеру;</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фінансово-кредитних ресурсів для бізнесу, фінансової підтримки підприємництва з місцевого бюджету;</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 затверджений новий Генеральний план селища/територіальної громади, відсутня інвентаризація земель;</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відтік трудових ресурсів з сільського господарства (особливо молоді), неповернення молодих спеціалістів у сільську місцевість після закінчення навчання, відсутність умов для закріплення молодих спеціалістів;</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робочих місць в селах, низька зайнятість населення;</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старіння населення та збільшення демографічного навантаження на працездатну частину населення;</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низький рівень інвестицій в місцеву економіку;</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досвіду міжнародної інвестиційної діяльності;</w:t>
            </w:r>
          </w:p>
          <w:p w:rsidR="00FA1A8F" w:rsidRPr="009253A3" w:rsidRDefault="00FA1A8F" w:rsidP="00FA1A8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якісно підготовлених спеціалістів.</w:t>
            </w:r>
          </w:p>
        </w:tc>
      </w:tr>
    </w:tbl>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Сільське господарство</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FA1A8F" w:rsidRPr="009253A3" w:rsidTr="00707983">
        <w:tc>
          <w:tcPr>
            <w:tcW w:w="3686"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Сильні сторони</w:t>
            </w:r>
          </w:p>
        </w:tc>
        <w:tc>
          <w:tcPr>
            <w:tcW w:w="5954"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Слабкі сторони</w:t>
            </w:r>
          </w:p>
        </w:tc>
      </w:tr>
      <w:tr w:rsidR="00FA1A8F" w:rsidRPr="009253A3" w:rsidTr="00707983">
        <w:tc>
          <w:tcPr>
            <w:tcW w:w="3686" w:type="dxa"/>
          </w:tcPr>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наявність земель, що придатні для обробки та вирощування сільськогосподарських культур, родючість ґрунтів, пасовищ для тваринництва; </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збережені традиції аграрного регіону;</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значний досвід та професіоналізм сільськогосподарських виробників.</w:t>
            </w: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слабка матеріально-технічна база аграрних підприємств;</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недостатнє впровадження інвестиційних технологій;</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дефіцит обігових коштів;</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скорочення обсягів виробництва переробної та харчової промисловості;</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спілки фермерів працюють не ефективно, робота фермерів не скоординована;</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 налагоджена система реалізації залишків сільськогосподарської продукції в селянських господарствах;</w:t>
            </w:r>
          </w:p>
          <w:p w:rsidR="00FA1A8F" w:rsidRPr="009253A3" w:rsidRDefault="00FA1A8F" w:rsidP="00FA1A8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неефективний паритет цін на сільськогосподарську продукцію.</w:t>
            </w:r>
          </w:p>
        </w:tc>
      </w:tr>
    </w:tbl>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Рекреаційний потенціал</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FA1A8F" w:rsidRPr="009253A3" w:rsidTr="00707983">
        <w:tc>
          <w:tcPr>
            <w:tcW w:w="3686"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Сильні сторони</w:t>
            </w:r>
          </w:p>
        </w:tc>
        <w:tc>
          <w:tcPr>
            <w:tcW w:w="5954"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Слабкі сторони</w:t>
            </w:r>
          </w:p>
        </w:tc>
      </w:tr>
      <w:tr w:rsidR="00FA1A8F" w:rsidRPr="009253A3" w:rsidTr="00707983">
        <w:tc>
          <w:tcPr>
            <w:tcW w:w="3686" w:type="dxa"/>
          </w:tcPr>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низьке екологічне навантаження, сприятливі кліматичні умови;</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достатня кількість лісових ресурсів;</w:t>
            </w: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упорядкованих місць відпочинку у лісових масивах, прибережних смугах водойм;</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сучасної системи управління твердими побутовими відходами (збір, транспортування та утилізація ТПВ, впровадження новітніх технологій);</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поступове погіршення стану житлово-комунального господарства;</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фізичний знос очисних і каналізаційних споруд та мереж централізованого постачання;</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низький рівень технічного забезпечення комунального підприємства;</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низький рівень екологічного виховання населення;</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відсутність налагодженої системи </w:t>
            </w:r>
            <w:proofErr w:type="spellStart"/>
            <w:r w:rsidRPr="009253A3">
              <w:rPr>
                <w:rFonts w:ascii="Times New Roman" w:eastAsia="Times New Roman" w:hAnsi="Times New Roman" w:cs="Times New Roman"/>
                <w:iCs w:val="0"/>
                <w:sz w:val="24"/>
                <w:szCs w:val="24"/>
                <w:lang w:val="uk-UA"/>
              </w:rPr>
              <w:t>енергоменеджменту</w:t>
            </w:r>
            <w:proofErr w:type="spellEnd"/>
            <w:r w:rsidRPr="009253A3">
              <w:rPr>
                <w:rFonts w:ascii="Times New Roman" w:eastAsia="Times New Roman" w:hAnsi="Times New Roman" w:cs="Times New Roman"/>
                <w:iCs w:val="0"/>
                <w:sz w:val="24"/>
                <w:szCs w:val="24"/>
                <w:lang w:val="uk-UA"/>
              </w:rPr>
              <w:t>;</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низький рівень впровадження проектів енергоефективності в житлово-комунальній сфері;</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сучасний стан фінансування не дозволяє кардинально покращити інженерні мережі;</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незадовільний стан утримання доріг;</w:t>
            </w:r>
          </w:p>
          <w:p w:rsidR="00FA1A8F" w:rsidRPr="009253A3" w:rsidRDefault="00FA1A8F" w:rsidP="00FA1A8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низький рівень застосування новітніх технологій в системі ЖКГ.</w:t>
            </w:r>
          </w:p>
        </w:tc>
      </w:tr>
    </w:tbl>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Соціальні послуги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FA1A8F" w:rsidRPr="009253A3" w:rsidTr="00707983">
        <w:tc>
          <w:tcPr>
            <w:tcW w:w="3686"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Сильні сторони</w:t>
            </w:r>
          </w:p>
        </w:tc>
        <w:tc>
          <w:tcPr>
            <w:tcW w:w="5954"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Слабкі сторони</w:t>
            </w:r>
          </w:p>
        </w:tc>
      </w:tr>
      <w:tr w:rsidR="00FA1A8F" w:rsidRPr="009253A3" w:rsidTr="00707983">
        <w:tc>
          <w:tcPr>
            <w:tcW w:w="3686" w:type="dxa"/>
          </w:tcPr>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багата історико-культурна спадщина;</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високий рівень духовності;</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lastRenderedPageBreak/>
              <w:t>розвинена мережа навчальних закладів;</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розвинена мережа соціально-культурних об’єктів;</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велика кількість обдарованої молоді;</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достатня матеріальна база освіти і охорони здоров’я; </w:t>
            </w: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lastRenderedPageBreak/>
              <w:t>брак бюджетних коштів на соціальні програми;</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мережа лікувальних, шкільних, дошкільних закладів, закладів культури потребує подальшого розвитку;</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lastRenderedPageBreak/>
              <w:t>недостатня якість спортивних об’єктів;</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недостатня кількість гуртків для дітей, дитячих майданчиків;</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відсутність індустрії відпочинку, розваг;</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недостатній рівень медичного обслуговування, дефіцит діагностичного медичного обладнання, відсутність висококваліфікованих кадрів;</w:t>
            </w:r>
          </w:p>
          <w:p w:rsidR="00FA1A8F" w:rsidRPr="009253A3" w:rsidRDefault="00FA1A8F" w:rsidP="00FA1A8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недооцінена праця працівників соціально-культурної сфери.</w:t>
            </w:r>
          </w:p>
        </w:tc>
      </w:tr>
    </w:tbl>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Аналіз зовнішніх чинників</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4395"/>
      </w:tblGrid>
      <w:tr w:rsidR="00FA1A8F" w:rsidRPr="009253A3" w:rsidTr="00707983">
        <w:tc>
          <w:tcPr>
            <w:tcW w:w="5245"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Можливості</w:t>
            </w:r>
          </w:p>
        </w:tc>
        <w:tc>
          <w:tcPr>
            <w:tcW w:w="4395" w:type="dxa"/>
          </w:tcPr>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9253A3">
              <w:rPr>
                <w:rFonts w:ascii="Times New Roman" w:eastAsia="Times New Roman" w:hAnsi="Times New Roman" w:cs="Times New Roman"/>
                <w:b/>
                <w:iCs w:val="0"/>
                <w:sz w:val="24"/>
                <w:szCs w:val="24"/>
                <w:lang w:val="uk-UA"/>
              </w:rPr>
              <w:t>Загрози</w:t>
            </w:r>
          </w:p>
        </w:tc>
      </w:tr>
      <w:tr w:rsidR="00FA1A8F" w:rsidRPr="009253A3" w:rsidTr="00707983">
        <w:tc>
          <w:tcPr>
            <w:tcW w:w="5245" w:type="dxa"/>
          </w:tcPr>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децентралізація влади;</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нарощування міжнародної технічної допомоги;</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надходження зовнішніх інвестицій та нових технологій;</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державна підтримка комунальної інфраструктури;</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доступність зовнішніх фінансових ресурсів;</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боротьба з бюрократією, створення прозорого антикорупційного середовища;</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упорядкування податкового та земельного законодавства;</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можливість громади контролювати всі процеси, які відбуваються в громаді як спосіб запобігати корупції;</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 xml:space="preserve"> можливість використання інтернет ресурсів до промоції громади, інформування громадян про діяльність ОТГ;</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можливість залучення додаткових джерел фінансування для розвитку інфраструктури;</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зростання бюджетної самостійності громади.</w:t>
            </w:r>
          </w:p>
        </w:tc>
        <w:tc>
          <w:tcPr>
            <w:tcW w:w="4395" w:type="dxa"/>
          </w:tcPr>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нестабільність національної валюти та інфляція;</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нестабільність політичної ситуації;</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інфляційні процеси;</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низький рівень надходження іноземних інвестицій та інновацій в економіку України;</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нестача фінансування ОТГ;</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слабкість та нестабільність нормативно-правової бази;</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складна політично-економічна ситуація в державі;</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інертність державних процесів, яка впливає на активність людей;</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зростання трудової міграції і втрата трудових ресурсів;</w:t>
            </w:r>
          </w:p>
          <w:p w:rsidR="00FA1A8F" w:rsidRPr="009253A3" w:rsidRDefault="00FA1A8F" w:rsidP="00FA1A8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зменшення внутрішнього товарообороту через низьку купівельну спроможність населення.</w:t>
            </w:r>
          </w:p>
        </w:tc>
      </w:tr>
    </w:tbl>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b/>
          <w:iCs w:val="0"/>
          <w:sz w:val="24"/>
          <w:szCs w:val="24"/>
          <w:lang w:val="uk-UA" w:eastAsia="ru-RU"/>
        </w:rPr>
        <w:t>3. ЦІЛІ ТА ПРІОРИТЕТИ РОЗВИТКУ СТУДЕНИКІВСЬКОЇ ОБ’ЄДНАНОЇ ТЕРИТОРІАЛЬНОЇ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Метою Програми є зростання добробуту і підвищення рівня життя населення за рахунок створення умов щодо сталого економічного, інвестиційного і підприємницького розвитку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Головною ціллю у 2018 році буде досягнення результатів впровадження комплексу завдань і заходів, спрямованих на вирішення найважливіших питань та посилення контролю за економічними та соціальними процесами розвитку Студениківської об'єднаної територіальної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Основними пріоритетами в роботі сільської ради щодо подальшого соціально-економічного розвитку Студениківської об'єднаної територіальної громади  на 2018 рік визначено:</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формування оптимальної мережі навчальних та лікувальних закладів;</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lastRenderedPageBreak/>
        <w:t>- покращення інвестиційного клімату сіл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підвищення рівня екологічної безпеки шляхом додержання екологічних норм та виконання природоохоронних заходів;</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впровадження інноваційних, науково-технічних розробок та заходів з енергозбереження;</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капітальний ремонт доріг, що поліпшують доступність жителів до об'єктів та установ, у яких надаються адміністративні, соціальні та інші послуги.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b/>
          <w:bCs/>
          <w:iCs w:val="0"/>
          <w:sz w:val="24"/>
          <w:szCs w:val="24"/>
          <w:lang w:val="uk-UA" w:eastAsia="ru-RU"/>
        </w:rPr>
        <w:t xml:space="preserve">4. ОСНОВНІ ЗАВДАННЯ ТА МЕХАНІЗМИ РЕАЛІЗАЦІЇ  ПЛАНУ СОЦІАЛЬНО-ЕКОНОМІЧНОГО РОЗВИТКУ СТУДЕНИКІВЬКОЇ СІЛЬСЬКОЇ РАДИ -ОБЄДНАНОЇ ТЕРИТОРІАЛЬНОЇ ГРОМАДИ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b/>
          <w:bCs/>
          <w:iCs w:val="0"/>
          <w:sz w:val="24"/>
          <w:szCs w:val="24"/>
          <w:lang w:val="uk-UA" w:eastAsia="ru-RU"/>
        </w:rPr>
        <w:t xml:space="preserve">Основні завдання Програми :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Завдання Програми: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u w:val="single"/>
          <w:lang w:val="uk-UA" w:eastAsia="ru-RU"/>
        </w:rPr>
        <w:t xml:space="preserve">В </w:t>
      </w:r>
      <w:proofErr w:type="spellStart"/>
      <w:r w:rsidRPr="009253A3">
        <w:rPr>
          <w:rFonts w:ascii="Times New Roman" w:eastAsia="Times New Roman" w:hAnsi="Times New Roman" w:cs="Times New Roman"/>
          <w:iCs w:val="0"/>
          <w:sz w:val="24"/>
          <w:szCs w:val="24"/>
          <w:u w:val="single"/>
          <w:lang w:val="uk-UA" w:eastAsia="ru-RU"/>
        </w:rPr>
        <w:t>фінасовій</w:t>
      </w:r>
      <w:proofErr w:type="spellEnd"/>
      <w:r w:rsidRPr="009253A3">
        <w:rPr>
          <w:rFonts w:ascii="Times New Roman" w:eastAsia="Times New Roman" w:hAnsi="Times New Roman" w:cs="Times New Roman"/>
          <w:iCs w:val="0"/>
          <w:sz w:val="24"/>
          <w:szCs w:val="24"/>
          <w:u w:val="single"/>
          <w:lang w:val="uk-UA" w:eastAsia="ru-RU"/>
        </w:rPr>
        <w:t xml:space="preserve"> та економічній сфері: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виконання плану по надходженнях до бюджету об'єднаної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        встановлення </w:t>
      </w:r>
      <w:proofErr w:type="spellStart"/>
      <w:r w:rsidRPr="009253A3">
        <w:rPr>
          <w:rFonts w:ascii="Times New Roman" w:eastAsia="Times New Roman" w:hAnsi="Times New Roman" w:cs="Times New Roman"/>
          <w:iCs w:val="0"/>
          <w:sz w:val="24"/>
          <w:szCs w:val="24"/>
          <w:lang w:val="uk-UA" w:eastAsia="ru-RU"/>
        </w:rPr>
        <w:t>обгрунтованих</w:t>
      </w:r>
      <w:proofErr w:type="spellEnd"/>
      <w:r w:rsidRPr="009253A3">
        <w:rPr>
          <w:rFonts w:ascii="Times New Roman" w:eastAsia="Times New Roman" w:hAnsi="Times New Roman" w:cs="Times New Roman"/>
          <w:iCs w:val="0"/>
          <w:sz w:val="24"/>
          <w:szCs w:val="24"/>
          <w:lang w:val="uk-UA" w:eastAsia="ru-RU"/>
        </w:rPr>
        <w:t xml:space="preserve"> розмірів місцевих податків і зборів,</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сприяння покращенню фінансової діяльності суб'єктів господарювання.</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u w:val="single"/>
          <w:lang w:val="uk-UA" w:eastAsia="ru-RU"/>
        </w:rPr>
        <w:t>У соціальній сфері:</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покращення якості та умов надання медичного обслуговування населення;</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зміцнення матеріально-технічної бази усіх бюджетних установ,</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формування системи закладів культури;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w:t>
      </w:r>
      <w:r w:rsidRPr="009253A3">
        <w:rPr>
          <w:rFonts w:ascii="Times New Roman" w:eastAsia="Times New Roman" w:hAnsi="Times New Roman" w:cs="Times New Roman"/>
          <w:iCs w:val="0"/>
          <w:sz w:val="24"/>
          <w:szCs w:val="24"/>
          <w:u w:val="single"/>
          <w:lang w:val="uk-UA" w:eastAsia="ru-RU"/>
        </w:rPr>
        <w:t>У сфері розбудови інфраструктури: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покращення системи вуличного освітлення;</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w:t>
      </w:r>
      <w:r w:rsidRPr="009253A3">
        <w:rPr>
          <w:rFonts w:ascii="Times New Roman" w:eastAsia="Times New Roman" w:hAnsi="Times New Roman" w:cs="Times New Roman"/>
          <w:iCs w:val="0"/>
          <w:color w:val="000000"/>
          <w:sz w:val="24"/>
          <w:szCs w:val="24"/>
          <w:lang w:val="uk-UA" w:eastAsia="ru-RU"/>
        </w:rPr>
        <w:t>підвищення якості надання адміністративних послуг, зокрема створення, центру надання адміністративних послуг та придбання обладнання і програмного забезпечення</w:t>
      </w:r>
      <w:r w:rsidRPr="009253A3">
        <w:rPr>
          <w:rFonts w:ascii="Times New Roman" w:eastAsia="Times New Roman" w:hAnsi="Times New Roman" w:cs="Times New Roman"/>
          <w:iCs w:val="0"/>
          <w:sz w:val="24"/>
          <w:szCs w:val="24"/>
          <w:lang w:val="uk-UA" w:eastAsia="ru-RU"/>
        </w:rPr>
        <w:t>;</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        покращення </w:t>
      </w:r>
      <w:proofErr w:type="spellStart"/>
      <w:r w:rsidRPr="009253A3">
        <w:rPr>
          <w:rFonts w:ascii="Times New Roman" w:eastAsia="Times New Roman" w:hAnsi="Times New Roman" w:cs="Times New Roman"/>
          <w:iCs w:val="0"/>
          <w:sz w:val="24"/>
          <w:szCs w:val="24"/>
          <w:lang w:val="uk-UA" w:eastAsia="ru-RU"/>
        </w:rPr>
        <w:t>транспортої</w:t>
      </w:r>
      <w:proofErr w:type="spellEnd"/>
      <w:r w:rsidRPr="009253A3">
        <w:rPr>
          <w:rFonts w:ascii="Times New Roman" w:eastAsia="Times New Roman" w:hAnsi="Times New Roman" w:cs="Times New Roman"/>
          <w:iCs w:val="0"/>
          <w:sz w:val="24"/>
          <w:szCs w:val="24"/>
          <w:lang w:val="uk-UA" w:eastAsia="ru-RU"/>
        </w:rPr>
        <w:t xml:space="preserve"> інфраструктури;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покращення системи управління побутовими відходами.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Досягнення визначених завдань можливе за рахунок тісної співпраці органів місцевого самоврядування, підприємств та установ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Виходячи із завдань Плану соціально-економічного розвитку Студениківської сільської об’єднаної територіальної громади, передбачається реалізація заходів по підвищенню ініціативності мешканців громади, розширенню діяльності власників особистих підсобних господарств, запровадження ефективності підходів до надання соціальних послуг і утримання об’єктів соціальної інфраструктури.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b/>
          <w:bCs/>
          <w:iCs w:val="0"/>
          <w:sz w:val="24"/>
          <w:szCs w:val="24"/>
          <w:lang w:val="uk-UA" w:eastAsia="ru-RU"/>
        </w:rPr>
        <w:t xml:space="preserve">Основні механізми реалізації Програми.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Основними механізмами реалізації Програми  є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розробка та впровадження механізмів передачі, відновлення та утримання соціальних об’єктів;</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пошук додаткових джерел фінансування заходів по розвитку села (кошти бюджетів усіх рівнів, позабюджетні кошти, кошти членів сільської громади, спонсорська та благодійна допомога тощо)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розширення кількості та підвищення якості соціально-побутових послуг, що надаються мешканцям сільської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співпраця з місцевими загальноосвітніми школами;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підвищення ініціативності та участі сільських жителів у вирішенні проблем сільської громади, тісна співпраця з органами місцевої влади, проведення урочистих подій, свят, спрямованих на згуртування громади та підвищення ініціативності, проведення спортивних заходів, тощо.</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створення будівельно-експлуатаційних кооперативів по водовідведенню.</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w:t>
      </w:r>
      <w:r w:rsidRPr="009253A3">
        <w:rPr>
          <w:rFonts w:ascii="Times New Roman" w:eastAsia="Times New Roman" w:hAnsi="Times New Roman" w:cs="Times New Roman"/>
          <w:b/>
          <w:bCs/>
          <w:iCs w:val="0"/>
          <w:sz w:val="24"/>
          <w:szCs w:val="24"/>
          <w:lang w:val="uk-UA" w:eastAsia="ru-RU"/>
        </w:rPr>
        <w:t xml:space="preserve">Основні етапи виконання Програми.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Виконання Програми соціально-економічного розвитку передбачає реалізацію наступних заходів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lastRenderedPageBreak/>
        <w:t>1. Розробка Програми, формування проектних заявок на проекти, які можуть реалізовуватися за рахунок коштів субвенції з державного бюджету місцевим бюджетам на формування інфраструктури об’єднаної територіальної громади.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Для розробки основних заходів, направлених на соціальне, економічне та культурне відродження території громади створюється Координаційна група, до складу якої входять ініціативні мешканці громади, керівництво та депутати сільської ради.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2. Обговорення Програми на засіданнях виконкому, депутатських комісій, сходах села, сесії сільської ради з метою його доопрацювання.</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3. Затвердження Програми соціально-економічного розвитку на сесії сільської ради, а також створення і затвердження робочої групи для координації дій по реалізації Програми.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4. Виконання заходів по реалізації Програми.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Робоча група бере на себе зобов’язання вживати заходів щодо виконання Програми, за необхідністю виносить питання на сесію сільської ради та на засідання депутатських комісій, а також у разі виникнення доцільності вносить доповнення у Програму з обов’язковим погодженням на сесії сільської ради.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5. Моніторинг виконання Програми та його коригування відповідно до можливих майбутніх змін.</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Механізм реалізації заходів та контроль за виконанням програми передбачає:</w:t>
      </w:r>
    </w:p>
    <w:p w:rsidR="00FA1A8F" w:rsidRPr="009253A3" w:rsidRDefault="00FA1A8F" w:rsidP="00FA1A8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постійний моніторинг виконання основних показників та заходів;</w:t>
      </w:r>
    </w:p>
    <w:p w:rsidR="00FA1A8F" w:rsidRPr="009253A3" w:rsidRDefault="00FA1A8F" w:rsidP="00FA1A8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щоквартальний розгляд питання про хід виконання програми на засіданнях виконавчого комітету Студениківської сільської ради, при потребі – на пленарних засіданнях сесії Студениківської сільської ради ;</w:t>
      </w:r>
    </w:p>
    <w:p w:rsidR="00FA1A8F" w:rsidRPr="009253A3" w:rsidRDefault="00FA1A8F" w:rsidP="00FA1A8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підготовку розпорядчих документів Студениківської сільської ради з питань її виконання;</w:t>
      </w:r>
    </w:p>
    <w:p w:rsidR="00FA1A8F" w:rsidRPr="009253A3" w:rsidRDefault="00FA1A8F" w:rsidP="00FA1A8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lang w:val="uk-UA"/>
        </w:rPr>
      </w:pPr>
      <w:r w:rsidRPr="009253A3">
        <w:rPr>
          <w:rFonts w:ascii="Times New Roman" w:eastAsia="Times New Roman" w:hAnsi="Times New Roman" w:cs="Times New Roman"/>
          <w:iCs w:val="0"/>
          <w:sz w:val="24"/>
          <w:szCs w:val="24"/>
          <w:lang w:val="uk-UA"/>
        </w:rPr>
        <w:t>відповідальність виконавців, що беруть участь у реалізації заходів.</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Координацію діяльності виконавців плану здійснює фінансовий відділ виконавчого комітету Студениківської сільської ради. Виконавчий комітет Студениківської сільської ради за підсумками  року щорічно звітує про хід виконання та ефективність реалізації заходів програми на сесії Студениківської сільської ради та на сходах громадян.</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b/>
          <w:bCs/>
          <w:iCs w:val="0"/>
          <w:sz w:val="24"/>
          <w:szCs w:val="24"/>
          <w:lang w:val="uk-UA" w:eastAsia="ru-RU"/>
        </w:rPr>
        <w:t>5. ФІНАНСОВЕ ЗАБЕЗПЕЧЕННЯ РЕАЛІЗАЦІЇ ПРОГРАМИ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Для реалізації основних заходів Програми соціально-економічного розвитку Студениківської об’єднаної територіальної громади передбачається використання коштів із різних джерел, а саме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5"/>
        <w:gridCol w:w="4313"/>
        <w:gridCol w:w="4567"/>
      </w:tblGrid>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Заходи</w:t>
            </w:r>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Джерело фінансування</w:t>
            </w:r>
          </w:p>
        </w:tc>
      </w:tr>
      <w:tr w:rsidR="00FA1A8F" w:rsidRPr="009253A3" w:rsidTr="00707983">
        <w:trPr>
          <w:tblCellSpacing w:w="15" w:type="dxa"/>
        </w:trPr>
        <w:tc>
          <w:tcPr>
            <w:tcW w:w="9405" w:type="dxa"/>
            <w:gridSpan w:val="3"/>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Фінансове забезпечення капітальних видатків об’єднаної громади</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1.</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 Продовження реконструкції Переяславського НВО</w:t>
            </w:r>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обласного бюджет</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2.</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Будівництво ліній вуличного освітлення із впровадженням енергозберігаючих технологій у </w:t>
            </w:r>
            <w:proofErr w:type="spellStart"/>
            <w:r w:rsidRPr="009253A3">
              <w:rPr>
                <w:rFonts w:ascii="Times New Roman" w:eastAsia="Times New Roman" w:hAnsi="Times New Roman" w:cs="Times New Roman"/>
                <w:iCs w:val="0"/>
                <w:sz w:val="24"/>
                <w:szCs w:val="24"/>
                <w:lang w:val="uk-UA" w:eastAsia="ru-RU"/>
              </w:rPr>
              <w:t>с.Соснова</w:t>
            </w:r>
            <w:proofErr w:type="spellEnd"/>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3.</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Поточний ремонт </w:t>
            </w:r>
            <w:proofErr w:type="spellStart"/>
            <w:r w:rsidRPr="009253A3">
              <w:rPr>
                <w:rFonts w:ascii="Times New Roman" w:eastAsia="Times New Roman" w:hAnsi="Times New Roman" w:cs="Times New Roman"/>
                <w:iCs w:val="0"/>
                <w:sz w:val="24"/>
                <w:szCs w:val="24"/>
                <w:lang w:val="uk-UA" w:eastAsia="ru-RU"/>
              </w:rPr>
              <w:t>Сомководолинського</w:t>
            </w:r>
            <w:proofErr w:type="spellEnd"/>
            <w:r w:rsidRPr="009253A3">
              <w:rPr>
                <w:rFonts w:ascii="Times New Roman" w:eastAsia="Times New Roman" w:hAnsi="Times New Roman" w:cs="Times New Roman"/>
                <w:iCs w:val="0"/>
                <w:sz w:val="24"/>
                <w:szCs w:val="24"/>
                <w:lang w:val="uk-UA" w:eastAsia="ru-RU"/>
              </w:rPr>
              <w:t xml:space="preserve"> будинку культури та встановлення системи опалення</w:t>
            </w:r>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lastRenderedPageBreak/>
              <w:t>4.</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Поточний ремонт мед амбулаторії сімейного типу в </w:t>
            </w:r>
            <w:proofErr w:type="spellStart"/>
            <w:r w:rsidRPr="009253A3">
              <w:rPr>
                <w:rFonts w:ascii="Times New Roman" w:eastAsia="Times New Roman" w:hAnsi="Times New Roman" w:cs="Times New Roman"/>
                <w:iCs w:val="0"/>
                <w:sz w:val="24"/>
                <w:szCs w:val="24"/>
                <w:lang w:val="uk-UA" w:eastAsia="ru-RU"/>
              </w:rPr>
              <w:t>с.Студеники</w:t>
            </w:r>
            <w:proofErr w:type="spellEnd"/>
            <w:r w:rsidRPr="009253A3">
              <w:rPr>
                <w:rFonts w:ascii="Times New Roman" w:eastAsia="Times New Roman" w:hAnsi="Times New Roman" w:cs="Times New Roman"/>
                <w:iCs w:val="0"/>
                <w:sz w:val="24"/>
                <w:szCs w:val="24"/>
                <w:lang w:val="uk-UA" w:eastAsia="ru-RU"/>
              </w:rPr>
              <w:t xml:space="preserve"> із заміною вікон на енергозберігаючі</w:t>
            </w:r>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5.</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Капітальний ремонт доріг місцевого значення </w:t>
            </w:r>
            <w:proofErr w:type="spellStart"/>
            <w:r w:rsidRPr="009253A3">
              <w:rPr>
                <w:rFonts w:ascii="Times New Roman" w:eastAsia="Times New Roman" w:hAnsi="Times New Roman" w:cs="Times New Roman"/>
                <w:iCs w:val="0"/>
                <w:sz w:val="24"/>
                <w:szCs w:val="24"/>
                <w:lang w:val="uk-UA" w:eastAsia="ru-RU"/>
              </w:rPr>
              <w:t>об’єданої</w:t>
            </w:r>
            <w:proofErr w:type="spellEnd"/>
            <w:r w:rsidRPr="009253A3">
              <w:rPr>
                <w:rFonts w:ascii="Times New Roman" w:eastAsia="Times New Roman" w:hAnsi="Times New Roman" w:cs="Times New Roman"/>
                <w:iCs w:val="0"/>
                <w:sz w:val="24"/>
                <w:szCs w:val="24"/>
                <w:lang w:val="uk-UA" w:eastAsia="ru-RU"/>
              </w:rPr>
              <w:t xml:space="preserve"> територіальної громади</w:t>
            </w:r>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6.</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Ямковий ремонт доріг місцевого значення </w:t>
            </w:r>
            <w:proofErr w:type="spellStart"/>
            <w:r w:rsidRPr="009253A3">
              <w:rPr>
                <w:rFonts w:ascii="Times New Roman" w:eastAsia="Times New Roman" w:hAnsi="Times New Roman" w:cs="Times New Roman"/>
                <w:iCs w:val="0"/>
                <w:sz w:val="24"/>
                <w:szCs w:val="24"/>
                <w:lang w:val="uk-UA" w:eastAsia="ru-RU"/>
              </w:rPr>
              <w:t>об’єданої</w:t>
            </w:r>
            <w:proofErr w:type="spellEnd"/>
            <w:r w:rsidRPr="009253A3">
              <w:rPr>
                <w:rFonts w:ascii="Times New Roman" w:eastAsia="Times New Roman" w:hAnsi="Times New Roman" w:cs="Times New Roman"/>
                <w:iCs w:val="0"/>
                <w:sz w:val="24"/>
                <w:szCs w:val="24"/>
                <w:lang w:val="uk-UA" w:eastAsia="ru-RU"/>
              </w:rPr>
              <w:t xml:space="preserve"> територіальної громади</w:t>
            </w:r>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7.</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Побудова спортивного майданчику з штучним покриттям при Переяславському НВО</w:t>
            </w:r>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обласного бюджету</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самоврядування</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8.</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Капітальний ремонт </w:t>
            </w:r>
            <w:proofErr w:type="spellStart"/>
            <w:r w:rsidRPr="009253A3">
              <w:rPr>
                <w:rFonts w:ascii="Times New Roman" w:eastAsia="Times New Roman" w:hAnsi="Times New Roman" w:cs="Times New Roman"/>
                <w:iCs w:val="0"/>
                <w:color w:val="000000"/>
                <w:sz w:val="24"/>
                <w:szCs w:val="24"/>
                <w:lang w:val="uk-UA" w:eastAsia="ru-RU"/>
              </w:rPr>
              <w:t>адмінприміщення</w:t>
            </w:r>
            <w:proofErr w:type="spellEnd"/>
            <w:r w:rsidRPr="009253A3">
              <w:rPr>
                <w:rFonts w:ascii="Times New Roman" w:eastAsia="Times New Roman" w:hAnsi="Times New Roman" w:cs="Times New Roman"/>
                <w:iCs w:val="0"/>
                <w:color w:val="000000"/>
                <w:sz w:val="24"/>
                <w:szCs w:val="24"/>
                <w:lang w:val="uk-UA" w:eastAsia="ru-RU"/>
              </w:rPr>
              <w:t xml:space="preserve"> та с</w:t>
            </w:r>
            <w:r w:rsidRPr="009253A3">
              <w:rPr>
                <w:rFonts w:ascii="Times New Roman" w:eastAsia="Times New Roman" w:hAnsi="Times New Roman" w:cs="Times New Roman"/>
                <w:iCs w:val="0"/>
                <w:sz w:val="24"/>
                <w:szCs w:val="24"/>
                <w:lang w:val="uk-UA" w:eastAsia="ru-RU"/>
              </w:rPr>
              <w:t xml:space="preserve">творення </w:t>
            </w:r>
            <w:proofErr w:type="spellStart"/>
            <w:r w:rsidRPr="009253A3">
              <w:rPr>
                <w:rFonts w:ascii="Times New Roman" w:eastAsia="Times New Roman" w:hAnsi="Times New Roman" w:cs="Times New Roman"/>
                <w:iCs w:val="0"/>
                <w:sz w:val="24"/>
                <w:szCs w:val="24"/>
                <w:lang w:val="uk-UA" w:eastAsia="ru-RU"/>
              </w:rPr>
              <w:t>ЦНАПу</w:t>
            </w:r>
            <w:proofErr w:type="spellEnd"/>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субвенції з державного бюджету на розвиток інфраструктури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proofErr w:type="spellStart"/>
            <w:r w:rsidRPr="009253A3">
              <w:rPr>
                <w:rFonts w:ascii="Times New Roman" w:eastAsia="Times New Roman" w:hAnsi="Times New Roman" w:cs="Times New Roman"/>
                <w:iCs w:val="0"/>
                <w:sz w:val="24"/>
                <w:szCs w:val="24"/>
                <w:lang w:val="uk-UA" w:eastAsia="ru-RU"/>
              </w:rPr>
              <w:t>Співфінансування</w:t>
            </w:r>
            <w:proofErr w:type="spellEnd"/>
            <w:r w:rsidRPr="009253A3">
              <w:rPr>
                <w:rFonts w:ascii="Times New Roman" w:eastAsia="Times New Roman" w:hAnsi="Times New Roman" w:cs="Times New Roman"/>
                <w:iCs w:val="0"/>
                <w:sz w:val="24"/>
                <w:szCs w:val="24"/>
                <w:lang w:val="uk-UA" w:eastAsia="ru-RU"/>
              </w:rPr>
              <w:t xml:space="preserve"> з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9.</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Побудова шкільної котельні </w:t>
            </w:r>
            <w:proofErr w:type="spellStart"/>
            <w:r w:rsidRPr="009253A3">
              <w:rPr>
                <w:rFonts w:ascii="Times New Roman" w:eastAsia="Times New Roman" w:hAnsi="Times New Roman" w:cs="Times New Roman"/>
                <w:iCs w:val="0"/>
                <w:sz w:val="24"/>
                <w:szCs w:val="24"/>
                <w:lang w:val="uk-UA" w:eastAsia="ru-RU"/>
              </w:rPr>
              <w:t>с.Переяславське</w:t>
            </w:r>
            <w:proofErr w:type="spellEnd"/>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10.</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Виготовлення документації на будівництво мед амбулаторії сімейного типу </w:t>
            </w:r>
            <w:proofErr w:type="spellStart"/>
            <w:r w:rsidRPr="009253A3">
              <w:rPr>
                <w:rFonts w:ascii="Times New Roman" w:eastAsia="Times New Roman" w:hAnsi="Times New Roman" w:cs="Times New Roman"/>
                <w:iCs w:val="0"/>
                <w:sz w:val="24"/>
                <w:szCs w:val="24"/>
                <w:lang w:val="uk-UA" w:eastAsia="ru-RU"/>
              </w:rPr>
              <w:t>с.Переяславське</w:t>
            </w:r>
            <w:proofErr w:type="spellEnd"/>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r w:rsidR="00FA1A8F" w:rsidRPr="009253A3" w:rsidTr="00707983">
        <w:trPr>
          <w:tblCellSpacing w:w="15" w:type="dxa"/>
        </w:trPr>
        <w:tc>
          <w:tcPr>
            <w:tcW w:w="540"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11.</w:t>
            </w:r>
          </w:p>
        </w:tc>
        <w:tc>
          <w:tcPr>
            <w:tcW w:w="4283"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 xml:space="preserve">Виготовлення проектно-кошторисної документації на переобладнання опалювальної системи в </w:t>
            </w:r>
            <w:proofErr w:type="spellStart"/>
            <w:r w:rsidRPr="009253A3">
              <w:rPr>
                <w:rFonts w:ascii="Times New Roman" w:eastAsia="Times New Roman" w:hAnsi="Times New Roman" w:cs="Times New Roman"/>
                <w:iCs w:val="0"/>
                <w:sz w:val="24"/>
                <w:szCs w:val="24"/>
                <w:lang w:val="uk-UA" w:eastAsia="ru-RU"/>
              </w:rPr>
              <w:t>с.Соснівка</w:t>
            </w:r>
            <w:proofErr w:type="spellEnd"/>
          </w:p>
        </w:tc>
        <w:tc>
          <w:tcPr>
            <w:tcW w:w="4522" w:type="dxa"/>
            <w:vAlign w:val="center"/>
            <w:hideMark/>
          </w:tcPr>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За рахунок коштів місцевого бюджету</w:t>
            </w:r>
          </w:p>
        </w:tc>
      </w:tr>
    </w:tbl>
    <w:p w:rsidR="00FA1A8F" w:rsidRPr="009253A3" w:rsidRDefault="00FA1A8F" w:rsidP="00FA1A8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b/>
          <w:bCs/>
          <w:iCs w:val="0"/>
          <w:sz w:val="24"/>
          <w:szCs w:val="24"/>
          <w:lang w:val="uk-UA" w:eastAsia="ru-RU"/>
        </w:rPr>
        <w:t>6. МОНІТОРИНГ ТА ОЦІНКА РЕЗУЛЬТАТИВНОСТІ РЕАЛІЗАЦІЇ ПРОГРАМИ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Сесія Студениківської сільської ради визначає першочерговість виконання заходів з урахуванням пріоритетних напрямків Програми і наявності фінансових та інших ресурсів. Основні показники та окремі заходи Програми можуть коригуватися з урахуванням соціально-економічної ситуації в громаді та суспільстві з відповідним погодженням за потреби  у встановленому порядку з Київською обласною радою, Київською обласною державною адміністрацією, Міністерством регіонального розвитку України та іншими центральними органами виконавчої влади.</w:t>
      </w:r>
    </w:p>
    <w:p w:rsidR="00FA1A8F" w:rsidRPr="009253A3" w:rsidRDefault="00FA1A8F" w:rsidP="00FA1A8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9253A3">
        <w:rPr>
          <w:rFonts w:ascii="Times New Roman" w:eastAsia="Times New Roman" w:hAnsi="Times New Roman" w:cs="Times New Roman"/>
          <w:iCs w:val="0"/>
          <w:sz w:val="24"/>
          <w:szCs w:val="24"/>
          <w:lang w:val="uk-UA" w:eastAsia="ru-RU"/>
        </w:rPr>
        <w:t>Моніторинг виконання Програми закріплено за робочою групою, яка затверджує звіти щодо виконання Програми та вносить зміни щодо його реалізації. Звіти про виконання Програми будуть заслуховуватися на засіданнях робочої групи та сесії, а також на сходках жителів громади.</w:t>
      </w:r>
    </w:p>
    <w:p w:rsidR="000B75A3" w:rsidRDefault="000B75A3">
      <w:bookmarkStart w:id="0" w:name="_GoBack"/>
      <w:bookmarkEnd w:id="0"/>
    </w:p>
    <w:sectPr w:rsidR="000B7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2B0D"/>
    <w:multiLevelType w:val="hybridMultilevel"/>
    <w:tmpl w:val="5A5A9CDE"/>
    <w:lvl w:ilvl="0" w:tplc="0780171E">
      <w:start w:val="1"/>
      <w:numFmt w:val="decimal"/>
      <w:lvlText w:val="%1."/>
      <w:lvlJc w:val="left"/>
      <w:pPr>
        <w:ind w:left="750" w:hanging="39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7F5E05"/>
    <w:multiLevelType w:val="multilevel"/>
    <w:tmpl w:val="81508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C2445E"/>
    <w:multiLevelType w:val="hybridMultilevel"/>
    <w:tmpl w:val="2E283F9C"/>
    <w:lvl w:ilvl="0" w:tplc="BD304E3E">
      <w:start w:val="15"/>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0977567E"/>
    <w:multiLevelType w:val="hybridMultilevel"/>
    <w:tmpl w:val="CC66FB84"/>
    <w:lvl w:ilvl="0" w:tplc="156E670C">
      <w:start w:val="1"/>
      <w:numFmt w:val="decimal"/>
      <w:lvlText w:val="%1)"/>
      <w:lvlJc w:val="left"/>
      <w:pPr>
        <w:ind w:left="1830" w:hanging="360"/>
      </w:pPr>
      <w:rPr>
        <w:rFonts w:hint="default"/>
        <w:sz w:val="28"/>
      </w:r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abstractNum w:abstractNumId="4" w15:restartNumberingAfterBreak="0">
    <w:nsid w:val="0B5D2167"/>
    <w:multiLevelType w:val="multilevel"/>
    <w:tmpl w:val="2AB0E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A42BEB"/>
    <w:multiLevelType w:val="hybridMultilevel"/>
    <w:tmpl w:val="260AB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22342"/>
    <w:multiLevelType w:val="hybridMultilevel"/>
    <w:tmpl w:val="43544CF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15:restartNumberingAfterBreak="0">
    <w:nsid w:val="14B6459F"/>
    <w:multiLevelType w:val="hybridMultilevel"/>
    <w:tmpl w:val="FE2203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5F7140"/>
    <w:multiLevelType w:val="hybridMultilevel"/>
    <w:tmpl w:val="8958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122E71"/>
    <w:multiLevelType w:val="multilevel"/>
    <w:tmpl w:val="AB5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D9358F"/>
    <w:multiLevelType w:val="hybridMultilevel"/>
    <w:tmpl w:val="84E85E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080007"/>
    <w:multiLevelType w:val="multilevel"/>
    <w:tmpl w:val="7326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A27651"/>
    <w:multiLevelType w:val="multilevel"/>
    <w:tmpl w:val="A48A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C0018F"/>
    <w:multiLevelType w:val="hybridMultilevel"/>
    <w:tmpl w:val="83549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771570"/>
    <w:multiLevelType w:val="hybridMultilevel"/>
    <w:tmpl w:val="4FBE91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2B5371"/>
    <w:multiLevelType w:val="multilevel"/>
    <w:tmpl w:val="ABB0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9955B4"/>
    <w:multiLevelType w:val="hybridMultilevel"/>
    <w:tmpl w:val="83421E7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15:restartNumberingAfterBreak="0">
    <w:nsid w:val="3E1C00D6"/>
    <w:multiLevelType w:val="multilevel"/>
    <w:tmpl w:val="9A309892"/>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3211884"/>
    <w:multiLevelType w:val="hybridMultilevel"/>
    <w:tmpl w:val="AC2E03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630165"/>
    <w:multiLevelType w:val="multilevel"/>
    <w:tmpl w:val="4F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53723C"/>
    <w:multiLevelType w:val="hybridMultilevel"/>
    <w:tmpl w:val="93C80C9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1" w15:restartNumberingAfterBreak="0">
    <w:nsid w:val="48ED69AC"/>
    <w:multiLevelType w:val="hybridMultilevel"/>
    <w:tmpl w:val="0AE8A660"/>
    <w:lvl w:ilvl="0" w:tplc="369C76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2E7611"/>
    <w:multiLevelType w:val="multilevel"/>
    <w:tmpl w:val="5D9A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FB203F"/>
    <w:multiLevelType w:val="multilevel"/>
    <w:tmpl w:val="9D1EF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F53840"/>
    <w:multiLevelType w:val="multilevel"/>
    <w:tmpl w:val="5566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B710E3"/>
    <w:multiLevelType w:val="hybridMultilevel"/>
    <w:tmpl w:val="CEDA3F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E771F7D"/>
    <w:multiLevelType w:val="multilevel"/>
    <w:tmpl w:val="6CF4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D805CF"/>
    <w:multiLevelType w:val="hybridMultilevel"/>
    <w:tmpl w:val="3252F5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74397691"/>
    <w:multiLevelType w:val="hybridMultilevel"/>
    <w:tmpl w:val="E4F4F552"/>
    <w:lvl w:ilvl="0" w:tplc="C542F7E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15:restartNumberingAfterBreak="0">
    <w:nsid w:val="74F36448"/>
    <w:multiLevelType w:val="hybridMultilevel"/>
    <w:tmpl w:val="FA96FBB0"/>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911088"/>
    <w:multiLevelType w:val="hybridMultilevel"/>
    <w:tmpl w:val="B89254AA"/>
    <w:lvl w:ilvl="0" w:tplc="5ED0EE42">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16"/>
  </w:num>
  <w:num w:numId="4">
    <w:abstractNumId w:val="28"/>
  </w:num>
  <w:num w:numId="5">
    <w:abstractNumId w:val="1"/>
  </w:num>
  <w:num w:numId="6">
    <w:abstractNumId w:val="13"/>
  </w:num>
  <w:num w:numId="7">
    <w:abstractNumId w:val="8"/>
  </w:num>
  <w:num w:numId="8">
    <w:abstractNumId w:val="27"/>
  </w:num>
  <w:num w:numId="9">
    <w:abstractNumId w:val="2"/>
  </w:num>
  <w:num w:numId="10">
    <w:abstractNumId w:val="29"/>
  </w:num>
  <w:num w:numId="11">
    <w:abstractNumId w:val="18"/>
  </w:num>
  <w:num w:numId="12">
    <w:abstractNumId w:val="25"/>
  </w:num>
  <w:num w:numId="13">
    <w:abstractNumId w:val="10"/>
  </w:num>
  <w:num w:numId="14">
    <w:abstractNumId w:val="14"/>
  </w:num>
  <w:num w:numId="15">
    <w:abstractNumId w:val="7"/>
  </w:num>
  <w:num w:numId="16">
    <w:abstractNumId w:val="19"/>
  </w:num>
  <w:num w:numId="17">
    <w:abstractNumId w:val="12"/>
  </w:num>
  <w:num w:numId="18">
    <w:abstractNumId w:val="23"/>
  </w:num>
  <w:num w:numId="19">
    <w:abstractNumId w:val="9"/>
  </w:num>
  <w:num w:numId="20">
    <w:abstractNumId w:val="22"/>
  </w:num>
  <w:num w:numId="21">
    <w:abstractNumId w:val="5"/>
  </w:num>
  <w:num w:numId="22">
    <w:abstractNumId w:val="21"/>
  </w:num>
  <w:num w:numId="23">
    <w:abstractNumId w:val="24"/>
  </w:num>
  <w:num w:numId="24">
    <w:abstractNumId w:val="17"/>
  </w:num>
  <w:num w:numId="25">
    <w:abstractNumId w:val="26"/>
  </w:num>
  <w:num w:numId="26">
    <w:abstractNumId w:val="4"/>
  </w:num>
  <w:num w:numId="27">
    <w:abstractNumId w:val="11"/>
  </w:num>
  <w:num w:numId="28">
    <w:abstractNumId w:val="15"/>
  </w:num>
  <w:num w:numId="29">
    <w:abstractNumId w:val="0"/>
  </w:num>
  <w:num w:numId="30">
    <w:abstractNumId w:val="2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A8F"/>
    <w:rsid w:val="000B75A3"/>
    <w:rsid w:val="00574C13"/>
    <w:rsid w:val="009253A3"/>
    <w:rsid w:val="00FA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CC3985-19CA-4C6B-A13B-302C2062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74C13"/>
    <w:rPr>
      <w:iCs/>
      <w:sz w:val="21"/>
      <w:szCs w:val="21"/>
    </w:rPr>
  </w:style>
  <w:style w:type="paragraph" w:styleId="1">
    <w:name w:val="heading 1"/>
    <w:basedOn w:val="a0"/>
    <w:next w:val="a0"/>
    <w:link w:val="10"/>
    <w:uiPriority w:val="9"/>
    <w:qFormat/>
    <w:rsid w:val="00574C13"/>
    <w:pPr>
      <w:pBdr>
        <w:top w:val="single" w:sz="12" w:space="1" w:color="CEBD0D"/>
        <w:left w:val="single" w:sz="12" w:space="4" w:color="CEBD0D"/>
        <w:bottom w:val="single" w:sz="12" w:space="1" w:color="CEBD0D"/>
        <w:right w:val="single" w:sz="12" w:space="4" w:color="CEBD0D"/>
      </w:pBdr>
      <w:shd w:val="clear" w:color="auto" w:fill="7C959A"/>
      <w:spacing w:line="240" w:lineRule="auto"/>
      <w:outlineLvl w:val="0"/>
    </w:pPr>
    <w:rPr>
      <w:rFonts w:ascii="Calibri" w:hAnsi="Calibri"/>
      <w:color w:val="FFFFFF"/>
      <w:sz w:val="28"/>
      <w:szCs w:val="38"/>
    </w:rPr>
  </w:style>
  <w:style w:type="paragraph" w:styleId="2">
    <w:name w:val="heading 2"/>
    <w:basedOn w:val="a0"/>
    <w:next w:val="a0"/>
    <w:link w:val="20"/>
    <w:uiPriority w:val="9"/>
    <w:unhideWhenUsed/>
    <w:qFormat/>
    <w:rsid w:val="00574C13"/>
    <w:pPr>
      <w:spacing w:before="200" w:after="60" w:line="240" w:lineRule="auto"/>
      <w:contextualSpacing/>
      <w:outlineLvl w:val="1"/>
    </w:pPr>
    <w:rPr>
      <w:rFonts w:ascii="Calibri" w:eastAsia="Times New Roman" w:hAnsi="Calibri" w:cs="Times New Roman"/>
      <w:b/>
      <w:bCs/>
      <w:outline/>
      <w:color w:val="7C959A"/>
      <w:sz w:val="34"/>
      <w:szCs w:val="34"/>
      <w14:textOutline w14:w="9525" w14:cap="flat" w14:cmpd="sng" w14:algn="ctr">
        <w14:solidFill>
          <w14:srgbClr w14:val="7C959A"/>
        </w14:solidFill>
        <w14:prstDash w14:val="solid"/>
        <w14:round/>
      </w14:textOutline>
      <w14:textFill>
        <w14:noFill/>
      </w14:textFill>
    </w:rPr>
  </w:style>
  <w:style w:type="paragraph" w:styleId="3">
    <w:name w:val="heading 3"/>
    <w:basedOn w:val="a0"/>
    <w:next w:val="a0"/>
    <w:link w:val="30"/>
    <w:uiPriority w:val="9"/>
    <w:unhideWhenUsed/>
    <w:qFormat/>
    <w:rsid w:val="00574C13"/>
    <w:pPr>
      <w:spacing w:before="200" w:after="100" w:line="240" w:lineRule="auto"/>
      <w:contextualSpacing/>
      <w:outlineLvl w:val="2"/>
    </w:pPr>
    <w:rPr>
      <w:rFonts w:ascii="Calibri" w:eastAsia="Times New Roman" w:hAnsi="Calibri" w:cs="Times New Roman"/>
      <w:b/>
      <w:bCs/>
      <w:smallCaps/>
      <w:color w:val="9A8D09"/>
      <w:spacing w:val="24"/>
      <w:sz w:val="28"/>
      <w:szCs w:val="22"/>
    </w:rPr>
  </w:style>
  <w:style w:type="paragraph" w:styleId="4">
    <w:name w:val="heading 4"/>
    <w:basedOn w:val="a0"/>
    <w:next w:val="a0"/>
    <w:link w:val="40"/>
    <w:uiPriority w:val="9"/>
    <w:semiHidden/>
    <w:unhideWhenUsed/>
    <w:qFormat/>
    <w:rsid w:val="00574C13"/>
    <w:pPr>
      <w:spacing w:before="200" w:after="100" w:line="240" w:lineRule="auto"/>
      <w:contextualSpacing/>
      <w:outlineLvl w:val="3"/>
    </w:pPr>
    <w:rPr>
      <w:rFonts w:ascii="Calibri" w:eastAsia="Times New Roman" w:hAnsi="Calibri" w:cs="Times New Roman"/>
      <w:b/>
      <w:bCs/>
      <w:color w:val="5A7075"/>
      <w:sz w:val="24"/>
      <w:szCs w:val="22"/>
    </w:rPr>
  </w:style>
  <w:style w:type="paragraph" w:styleId="5">
    <w:name w:val="heading 5"/>
    <w:basedOn w:val="a0"/>
    <w:next w:val="a0"/>
    <w:link w:val="50"/>
    <w:uiPriority w:val="9"/>
    <w:semiHidden/>
    <w:unhideWhenUsed/>
    <w:qFormat/>
    <w:rsid w:val="00574C13"/>
    <w:pPr>
      <w:spacing w:before="200" w:after="100" w:line="240" w:lineRule="auto"/>
      <w:contextualSpacing/>
      <w:outlineLvl w:val="4"/>
    </w:pPr>
    <w:rPr>
      <w:rFonts w:ascii="Calibri" w:eastAsia="Times New Roman" w:hAnsi="Calibri" w:cs="Times New Roman"/>
      <w:bCs/>
      <w:caps/>
      <w:color w:val="9A8D09"/>
      <w:sz w:val="22"/>
      <w:szCs w:val="22"/>
    </w:rPr>
  </w:style>
  <w:style w:type="paragraph" w:styleId="6">
    <w:name w:val="heading 6"/>
    <w:basedOn w:val="a0"/>
    <w:next w:val="a0"/>
    <w:link w:val="60"/>
    <w:uiPriority w:val="9"/>
    <w:semiHidden/>
    <w:unhideWhenUsed/>
    <w:qFormat/>
    <w:rsid w:val="00574C13"/>
    <w:pPr>
      <w:spacing w:before="200" w:after="100" w:line="240" w:lineRule="auto"/>
      <w:contextualSpacing/>
      <w:outlineLvl w:val="5"/>
    </w:pPr>
    <w:rPr>
      <w:rFonts w:ascii="Calibri" w:eastAsia="Times New Roman" w:hAnsi="Calibri" w:cs="Times New Roman"/>
      <w:color w:val="5A7075"/>
      <w:sz w:val="22"/>
      <w:szCs w:val="22"/>
    </w:rPr>
  </w:style>
  <w:style w:type="paragraph" w:styleId="7">
    <w:name w:val="heading 7"/>
    <w:basedOn w:val="a0"/>
    <w:next w:val="a0"/>
    <w:link w:val="70"/>
    <w:uiPriority w:val="9"/>
    <w:semiHidden/>
    <w:unhideWhenUsed/>
    <w:qFormat/>
    <w:rsid w:val="00574C13"/>
    <w:pPr>
      <w:spacing w:before="200" w:after="100" w:line="240" w:lineRule="auto"/>
      <w:contextualSpacing/>
      <w:outlineLvl w:val="6"/>
    </w:pPr>
    <w:rPr>
      <w:rFonts w:ascii="Calibri" w:eastAsia="Times New Roman" w:hAnsi="Calibri" w:cs="Times New Roman"/>
      <w:color w:val="9A8D09"/>
      <w:sz w:val="22"/>
      <w:szCs w:val="22"/>
    </w:rPr>
  </w:style>
  <w:style w:type="paragraph" w:styleId="8">
    <w:name w:val="heading 8"/>
    <w:basedOn w:val="a0"/>
    <w:next w:val="a0"/>
    <w:link w:val="80"/>
    <w:uiPriority w:val="9"/>
    <w:semiHidden/>
    <w:unhideWhenUsed/>
    <w:qFormat/>
    <w:rsid w:val="00574C13"/>
    <w:pPr>
      <w:spacing w:before="200" w:after="100" w:line="240" w:lineRule="auto"/>
      <w:contextualSpacing/>
      <w:outlineLvl w:val="7"/>
    </w:pPr>
    <w:rPr>
      <w:rFonts w:ascii="Calibri" w:eastAsia="Times New Roman" w:hAnsi="Calibri" w:cs="Times New Roman"/>
      <w:color w:val="7C959A"/>
      <w:sz w:val="22"/>
      <w:szCs w:val="22"/>
    </w:rPr>
  </w:style>
  <w:style w:type="paragraph" w:styleId="9">
    <w:name w:val="heading 9"/>
    <w:basedOn w:val="a0"/>
    <w:next w:val="a0"/>
    <w:link w:val="90"/>
    <w:uiPriority w:val="9"/>
    <w:semiHidden/>
    <w:unhideWhenUsed/>
    <w:qFormat/>
    <w:rsid w:val="00574C13"/>
    <w:pPr>
      <w:spacing w:before="200" w:after="100" w:line="240" w:lineRule="auto"/>
      <w:contextualSpacing/>
      <w:outlineLvl w:val="8"/>
    </w:pPr>
    <w:rPr>
      <w:rFonts w:ascii="Calibri" w:eastAsia="Times New Roman" w:hAnsi="Calibri" w:cs="Times New Roman"/>
      <w:smallCaps/>
      <w:color w:val="CEBD0D"/>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574C13"/>
    <w:rPr>
      <w:rFonts w:ascii="Calibri" w:hAnsi="Calibri"/>
      <w:iCs/>
      <w:color w:val="FFFFFF"/>
      <w:sz w:val="28"/>
      <w:szCs w:val="38"/>
      <w:shd w:val="clear" w:color="auto" w:fill="7C959A"/>
    </w:rPr>
  </w:style>
  <w:style w:type="character" w:customStyle="1" w:styleId="20">
    <w:name w:val="Заголовок 2 Знак"/>
    <w:link w:val="2"/>
    <w:uiPriority w:val="9"/>
    <w:rsid w:val="00574C13"/>
    <w:rPr>
      <w:rFonts w:ascii="Calibri" w:eastAsia="Times New Roman" w:hAnsi="Calibri" w:cs="Times New Roman"/>
      <w:b/>
      <w:bCs/>
      <w:iCs/>
      <w:outline/>
      <w:color w:val="7C959A"/>
      <w:sz w:val="34"/>
      <w:szCs w:val="34"/>
      <w14:textOutline w14:w="9525" w14:cap="flat" w14:cmpd="sng" w14:algn="ctr">
        <w14:solidFill>
          <w14:srgbClr w14:val="7C959A"/>
        </w14:solidFill>
        <w14:prstDash w14:val="solid"/>
        <w14:round/>
      </w14:textOutline>
      <w14:textFill>
        <w14:noFill/>
      </w14:textFill>
    </w:rPr>
  </w:style>
  <w:style w:type="character" w:customStyle="1" w:styleId="30">
    <w:name w:val="Заголовок 3 Знак"/>
    <w:link w:val="3"/>
    <w:uiPriority w:val="9"/>
    <w:rsid w:val="00574C13"/>
    <w:rPr>
      <w:rFonts w:ascii="Calibri" w:eastAsia="Times New Roman" w:hAnsi="Calibri" w:cs="Times New Roman"/>
      <w:b/>
      <w:bCs/>
      <w:iCs/>
      <w:smallCaps/>
      <w:color w:val="9A8D09"/>
      <w:spacing w:val="24"/>
      <w:sz w:val="28"/>
    </w:rPr>
  </w:style>
  <w:style w:type="character" w:customStyle="1" w:styleId="40">
    <w:name w:val="Заголовок 4 Знак"/>
    <w:link w:val="4"/>
    <w:uiPriority w:val="9"/>
    <w:semiHidden/>
    <w:rsid w:val="00574C13"/>
    <w:rPr>
      <w:rFonts w:ascii="Calibri" w:eastAsia="Times New Roman" w:hAnsi="Calibri" w:cs="Times New Roman"/>
      <w:b/>
      <w:bCs/>
      <w:iCs/>
      <w:color w:val="5A7075"/>
      <w:sz w:val="24"/>
    </w:rPr>
  </w:style>
  <w:style w:type="character" w:customStyle="1" w:styleId="50">
    <w:name w:val="Заголовок 5 Знак"/>
    <w:link w:val="5"/>
    <w:uiPriority w:val="9"/>
    <w:semiHidden/>
    <w:rsid w:val="00574C13"/>
    <w:rPr>
      <w:rFonts w:ascii="Calibri" w:eastAsia="Times New Roman" w:hAnsi="Calibri" w:cs="Times New Roman"/>
      <w:bCs/>
      <w:iCs/>
      <w:caps/>
      <w:color w:val="9A8D09"/>
    </w:rPr>
  </w:style>
  <w:style w:type="character" w:customStyle="1" w:styleId="60">
    <w:name w:val="Заголовок 6 Знак"/>
    <w:link w:val="6"/>
    <w:uiPriority w:val="9"/>
    <w:semiHidden/>
    <w:rsid w:val="00574C13"/>
    <w:rPr>
      <w:rFonts w:ascii="Calibri" w:eastAsia="Times New Roman" w:hAnsi="Calibri" w:cs="Times New Roman"/>
      <w:iCs/>
      <w:color w:val="5A7075"/>
    </w:rPr>
  </w:style>
  <w:style w:type="character" w:customStyle="1" w:styleId="70">
    <w:name w:val="Заголовок 7 Знак"/>
    <w:link w:val="7"/>
    <w:uiPriority w:val="9"/>
    <w:semiHidden/>
    <w:rsid w:val="00574C13"/>
    <w:rPr>
      <w:rFonts w:ascii="Calibri" w:eastAsia="Times New Roman" w:hAnsi="Calibri" w:cs="Times New Roman"/>
      <w:iCs/>
      <w:color w:val="9A8D09"/>
    </w:rPr>
  </w:style>
  <w:style w:type="character" w:customStyle="1" w:styleId="80">
    <w:name w:val="Заголовок 8 Знак"/>
    <w:link w:val="8"/>
    <w:uiPriority w:val="9"/>
    <w:semiHidden/>
    <w:rsid w:val="00574C13"/>
    <w:rPr>
      <w:rFonts w:ascii="Calibri" w:eastAsia="Times New Roman" w:hAnsi="Calibri" w:cs="Times New Roman"/>
      <w:iCs/>
      <w:color w:val="7C959A"/>
    </w:rPr>
  </w:style>
  <w:style w:type="character" w:customStyle="1" w:styleId="90">
    <w:name w:val="Заголовок 9 Знак"/>
    <w:link w:val="9"/>
    <w:uiPriority w:val="9"/>
    <w:semiHidden/>
    <w:rsid w:val="00574C13"/>
    <w:rPr>
      <w:rFonts w:ascii="Calibri" w:eastAsia="Times New Roman" w:hAnsi="Calibri" w:cs="Times New Roman"/>
      <w:iCs/>
      <w:smallCaps/>
      <w:color w:val="CEBD0D"/>
      <w:sz w:val="20"/>
      <w:szCs w:val="21"/>
    </w:rPr>
  </w:style>
  <w:style w:type="paragraph" w:styleId="a4">
    <w:name w:val="caption"/>
    <w:basedOn w:val="a0"/>
    <w:next w:val="a0"/>
    <w:uiPriority w:val="35"/>
    <w:semiHidden/>
    <w:unhideWhenUsed/>
    <w:qFormat/>
    <w:rsid w:val="00574C13"/>
    <w:rPr>
      <w:b/>
      <w:bCs/>
      <w:color w:val="9A8D09"/>
      <w:sz w:val="18"/>
      <w:szCs w:val="18"/>
    </w:rPr>
  </w:style>
  <w:style w:type="paragraph" w:styleId="a5">
    <w:name w:val="Title"/>
    <w:basedOn w:val="a0"/>
    <w:next w:val="a0"/>
    <w:link w:val="a6"/>
    <w:qFormat/>
    <w:rsid w:val="00574C13"/>
    <w:pPr>
      <w:shd w:val="clear" w:color="auto" w:fill="FFFFFF"/>
      <w:spacing w:after="120" w:line="240" w:lineRule="auto"/>
    </w:pPr>
    <w:rPr>
      <w:rFonts w:ascii="Calibri" w:eastAsia="Times New Roman" w:hAnsi="Calibri" w:cs="Times New Roman"/>
      <w:b/>
      <w:color w:val="FFFFFF"/>
      <w:spacing w:val="10"/>
      <w:sz w:val="72"/>
      <w:szCs w:val="64"/>
    </w:rPr>
  </w:style>
  <w:style w:type="character" w:customStyle="1" w:styleId="a6">
    <w:name w:val="Заголовок Знак"/>
    <w:link w:val="a5"/>
    <w:rsid w:val="00574C13"/>
    <w:rPr>
      <w:rFonts w:ascii="Calibri" w:eastAsia="Times New Roman" w:hAnsi="Calibri" w:cs="Times New Roman"/>
      <w:b/>
      <w:iCs/>
      <w:color w:val="FFFFFF"/>
      <w:spacing w:val="10"/>
      <w:sz w:val="72"/>
      <w:szCs w:val="64"/>
      <w:shd w:val="clear" w:color="auto" w:fill="FFFFFF"/>
    </w:rPr>
  </w:style>
  <w:style w:type="paragraph" w:styleId="a7">
    <w:name w:val="Subtitle"/>
    <w:basedOn w:val="a0"/>
    <w:next w:val="a0"/>
    <w:link w:val="a8"/>
    <w:uiPriority w:val="11"/>
    <w:qFormat/>
    <w:rsid w:val="00574C13"/>
    <w:pPr>
      <w:spacing w:before="200" w:after="360" w:line="240" w:lineRule="auto"/>
    </w:pPr>
    <w:rPr>
      <w:rFonts w:ascii="Calibri" w:eastAsia="Times New Roman" w:hAnsi="Calibri" w:cs="Times New Roman"/>
      <w:color w:val="1B343F"/>
      <w:spacing w:val="20"/>
      <w:sz w:val="24"/>
      <w:szCs w:val="24"/>
    </w:rPr>
  </w:style>
  <w:style w:type="character" w:customStyle="1" w:styleId="a8">
    <w:name w:val="Подзаголовок Знак"/>
    <w:link w:val="a7"/>
    <w:uiPriority w:val="11"/>
    <w:rsid w:val="00574C13"/>
    <w:rPr>
      <w:rFonts w:ascii="Calibri" w:eastAsia="Times New Roman" w:hAnsi="Calibri" w:cs="Times New Roman"/>
      <w:iCs/>
      <w:color w:val="1B343F"/>
      <w:spacing w:val="20"/>
      <w:sz w:val="24"/>
      <w:szCs w:val="24"/>
    </w:rPr>
  </w:style>
  <w:style w:type="character" w:styleId="a9">
    <w:name w:val="Strong"/>
    <w:uiPriority w:val="22"/>
    <w:qFormat/>
    <w:rsid w:val="00574C13"/>
    <w:rPr>
      <w:b/>
      <w:bCs/>
      <w:spacing w:val="0"/>
    </w:rPr>
  </w:style>
  <w:style w:type="character" w:styleId="aa">
    <w:name w:val="Emphasis"/>
    <w:uiPriority w:val="20"/>
    <w:qFormat/>
    <w:rsid w:val="00574C13"/>
    <w:rPr>
      <w:rFonts w:eastAsia="Times New Roman" w:cs="Times New Roman"/>
      <w:b/>
      <w:bCs/>
      <w:color w:val="9A8D09"/>
      <w:bdr w:val="single" w:sz="18" w:space="0" w:color="DFE6D0"/>
      <w:shd w:val="clear" w:color="auto" w:fill="DFE6D0"/>
    </w:rPr>
  </w:style>
  <w:style w:type="paragraph" w:styleId="ab">
    <w:name w:val="No Spacing"/>
    <w:basedOn w:val="a0"/>
    <w:uiPriority w:val="1"/>
    <w:qFormat/>
    <w:rsid w:val="00574C13"/>
    <w:pPr>
      <w:spacing w:after="0" w:line="240" w:lineRule="auto"/>
    </w:pPr>
  </w:style>
  <w:style w:type="paragraph" w:styleId="a">
    <w:name w:val="List Paragraph"/>
    <w:basedOn w:val="a0"/>
    <w:uiPriority w:val="34"/>
    <w:qFormat/>
    <w:rsid w:val="00574C13"/>
    <w:pPr>
      <w:numPr>
        <w:numId w:val="1"/>
      </w:numPr>
      <w:contextualSpacing/>
    </w:pPr>
    <w:rPr>
      <w:sz w:val="22"/>
    </w:rPr>
  </w:style>
  <w:style w:type="paragraph" w:styleId="21">
    <w:name w:val="Quote"/>
    <w:basedOn w:val="a0"/>
    <w:next w:val="a0"/>
    <w:link w:val="22"/>
    <w:uiPriority w:val="29"/>
    <w:qFormat/>
    <w:rsid w:val="00574C13"/>
    <w:rPr>
      <w:b/>
      <w:i/>
      <w:color w:val="CEBD0D"/>
      <w:sz w:val="24"/>
    </w:rPr>
  </w:style>
  <w:style w:type="character" w:customStyle="1" w:styleId="22">
    <w:name w:val="Цитата 2 Знак"/>
    <w:link w:val="21"/>
    <w:uiPriority w:val="29"/>
    <w:rsid w:val="00574C13"/>
    <w:rPr>
      <w:b/>
      <w:i/>
      <w:iCs/>
      <w:color w:val="CEBD0D"/>
      <w:sz w:val="24"/>
      <w:szCs w:val="21"/>
    </w:rPr>
  </w:style>
  <w:style w:type="paragraph" w:styleId="ac">
    <w:name w:val="Intense Quote"/>
    <w:basedOn w:val="a0"/>
    <w:next w:val="a0"/>
    <w:link w:val="ad"/>
    <w:uiPriority w:val="30"/>
    <w:qFormat/>
    <w:rsid w:val="00574C13"/>
    <w:pPr>
      <w:pBdr>
        <w:top w:val="dotted" w:sz="8" w:space="10" w:color="CEBD0D"/>
        <w:bottom w:val="dotted" w:sz="8" w:space="10" w:color="CEBD0D"/>
      </w:pBdr>
      <w:spacing w:line="300" w:lineRule="auto"/>
      <w:ind w:left="2160" w:right="2160"/>
      <w:jc w:val="center"/>
    </w:pPr>
    <w:rPr>
      <w:rFonts w:ascii="Calibri" w:eastAsia="Times New Roman" w:hAnsi="Calibri" w:cs="Times New Roman"/>
      <w:b/>
      <w:bCs/>
      <w:i/>
      <w:color w:val="CEBD0D"/>
      <w:sz w:val="20"/>
      <w:szCs w:val="20"/>
    </w:rPr>
  </w:style>
  <w:style w:type="character" w:customStyle="1" w:styleId="ad">
    <w:name w:val="Выделенная цитата Знак"/>
    <w:link w:val="ac"/>
    <w:uiPriority w:val="30"/>
    <w:rsid w:val="00574C13"/>
    <w:rPr>
      <w:rFonts w:ascii="Calibri" w:eastAsia="Times New Roman" w:hAnsi="Calibri" w:cs="Times New Roman"/>
      <w:b/>
      <w:bCs/>
      <w:i/>
      <w:iCs/>
      <w:color w:val="CEBD0D"/>
      <w:sz w:val="20"/>
      <w:szCs w:val="20"/>
    </w:rPr>
  </w:style>
  <w:style w:type="character" w:styleId="ae">
    <w:name w:val="Subtle Emphasis"/>
    <w:uiPriority w:val="19"/>
    <w:qFormat/>
    <w:rsid w:val="00574C13"/>
    <w:rPr>
      <w:rFonts w:ascii="Calibri" w:eastAsia="Times New Roman" w:hAnsi="Calibri" w:cs="Times New Roman"/>
      <w:b/>
      <w:i/>
      <w:color w:val="7C959A"/>
    </w:rPr>
  </w:style>
  <w:style w:type="character" w:styleId="af">
    <w:name w:val="Intense Emphasis"/>
    <w:uiPriority w:val="21"/>
    <w:qFormat/>
    <w:rsid w:val="00574C13"/>
    <w:rPr>
      <w:rFonts w:ascii="Calibri" w:eastAsia="Times New Roman" w:hAnsi="Calibri" w:cs="Times New Roman"/>
      <w:b/>
      <w:bCs/>
      <w:i/>
      <w:iCs/>
      <w:dstrike w:val="0"/>
      <w:color w:val="FFFFFF"/>
      <w:bdr w:val="single" w:sz="18" w:space="0" w:color="CEBD0D"/>
      <w:shd w:val="clear" w:color="auto" w:fill="CEBD0D"/>
      <w:vertAlign w:val="baseline"/>
    </w:rPr>
  </w:style>
  <w:style w:type="character" w:styleId="af0">
    <w:name w:val="Subtle Reference"/>
    <w:uiPriority w:val="31"/>
    <w:qFormat/>
    <w:rsid w:val="00574C13"/>
    <w:rPr>
      <w:i/>
      <w:iCs/>
      <w:smallCaps/>
      <w:color w:val="CEBD0D"/>
      <w:u w:color="CEBD0D"/>
    </w:rPr>
  </w:style>
  <w:style w:type="character" w:styleId="af1">
    <w:name w:val="Intense Reference"/>
    <w:uiPriority w:val="32"/>
    <w:qFormat/>
    <w:rsid w:val="00574C13"/>
    <w:rPr>
      <w:b/>
      <w:bCs/>
      <w:i/>
      <w:iCs/>
      <w:smallCaps/>
      <w:color w:val="CEBD0D"/>
      <w:u w:color="CEBD0D"/>
    </w:rPr>
  </w:style>
  <w:style w:type="character" w:styleId="af2">
    <w:name w:val="Book Title"/>
    <w:uiPriority w:val="33"/>
    <w:qFormat/>
    <w:rsid w:val="00574C13"/>
    <w:rPr>
      <w:rFonts w:ascii="Calibri" w:eastAsia="Times New Roman" w:hAnsi="Calibri" w:cs="Times New Roman"/>
      <w:b/>
      <w:bCs/>
      <w:smallCaps/>
      <w:color w:val="CEBD0D"/>
      <w:u w:val="single"/>
    </w:rPr>
  </w:style>
  <w:style w:type="paragraph" w:styleId="af3">
    <w:name w:val="TOC Heading"/>
    <w:basedOn w:val="1"/>
    <w:next w:val="a0"/>
    <w:uiPriority w:val="39"/>
    <w:semiHidden/>
    <w:unhideWhenUsed/>
    <w:qFormat/>
    <w:rsid w:val="00574C13"/>
    <w:pPr>
      <w:outlineLvl w:val="9"/>
    </w:pPr>
  </w:style>
  <w:style w:type="paragraph" w:styleId="af4">
    <w:name w:val="Balloon Text"/>
    <w:basedOn w:val="a0"/>
    <w:link w:val="af5"/>
    <w:uiPriority w:val="99"/>
    <w:semiHidden/>
    <w:unhideWhenUsed/>
    <w:rsid w:val="00FA1A8F"/>
    <w:pPr>
      <w:spacing w:after="0"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FA1A8F"/>
    <w:rPr>
      <w:rFonts w:ascii="Tahoma" w:hAnsi="Tahoma" w:cs="Tahoma"/>
      <w:iCs/>
      <w:sz w:val="16"/>
      <w:szCs w:val="16"/>
    </w:rPr>
  </w:style>
  <w:style w:type="paragraph" w:styleId="af6">
    <w:name w:val="Body Text Indent"/>
    <w:basedOn w:val="a0"/>
    <w:link w:val="af7"/>
    <w:rsid w:val="00FA1A8F"/>
    <w:pPr>
      <w:spacing w:after="120" w:line="240" w:lineRule="auto"/>
      <w:ind w:left="283"/>
    </w:pPr>
    <w:rPr>
      <w:rFonts w:ascii="Times New Roman" w:eastAsia="Times New Roman" w:hAnsi="Times New Roman" w:cs="Times New Roman"/>
      <w:iCs w:val="0"/>
      <w:sz w:val="24"/>
      <w:szCs w:val="24"/>
      <w:lang w:val="uk-UA" w:eastAsia="ru-RU"/>
    </w:rPr>
  </w:style>
  <w:style w:type="character" w:customStyle="1" w:styleId="af7">
    <w:name w:val="Основной текст с отступом Знак"/>
    <w:basedOn w:val="a1"/>
    <w:link w:val="af6"/>
    <w:rsid w:val="00FA1A8F"/>
    <w:rPr>
      <w:rFonts w:ascii="Times New Roman" w:eastAsia="Times New Roman" w:hAnsi="Times New Roman" w:cs="Times New Roman"/>
      <w:sz w:val="24"/>
      <w:szCs w:val="24"/>
      <w:lang w:val="uk-UA" w:eastAsia="ru-RU"/>
    </w:rPr>
  </w:style>
  <w:style w:type="paragraph" w:styleId="af8">
    <w:name w:val="Normal (Web)"/>
    <w:basedOn w:val="a0"/>
    <w:uiPriority w:val="99"/>
    <w:unhideWhenUsed/>
    <w:rsid w:val="00FA1A8F"/>
    <w:pPr>
      <w:spacing w:before="100" w:beforeAutospacing="1" w:after="100" w:afterAutospacing="1" w:line="240" w:lineRule="auto"/>
    </w:pPr>
    <w:rPr>
      <w:rFonts w:ascii="Times New Roman" w:eastAsia="Times New Roman" w:hAnsi="Times New Roman" w:cs="Times New Roman"/>
      <w:iCs w:val="0"/>
      <w:sz w:val="24"/>
      <w:szCs w:val="24"/>
      <w:lang w:eastAsia="ru-RU"/>
    </w:rPr>
  </w:style>
  <w:style w:type="table" w:styleId="af9">
    <w:name w:val="Table Grid"/>
    <w:basedOn w:val="a2"/>
    <w:uiPriority w:val="59"/>
    <w:rsid w:val="00FA1A8F"/>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ody Text"/>
    <w:basedOn w:val="a0"/>
    <w:link w:val="afb"/>
    <w:uiPriority w:val="99"/>
    <w:semiHidden/>
    <w:unhideWhenUsed/>
    <w:rsid w:val="00FA1A8F"/>
    <w:pPr>
      <w:spacing w:after="120"/>
    </w:pPr>
  </w:style>
  <w:style w:type="character" w:customStyle="1" w:styleId="afb">
    <w:name w:val="Основной текст Знак"/>
    <w:basedOn w:val="a1"/>
    <w:link w:val="afa"/>
    <w:uiPriority w:val="99"/>
    <w:semiHidden/>
    <w:rsid w:val="00FA1A8F"/>
    <w:rPr>
      <w:iCs/>
      <w:sz w:val="21"/>
      <w:szCs w:val="21"/>
    </w:rPr>
  </w:style>
  <w:style w:type="numbering" w:customStyle="1" w:styleId="11">
    <w:name w:val="Немає списку1"/>
    <w:next w:val="a3"/>
    <w:semiHidden/>
    <w:rsid w:val="00FA1A8F"/>
  </w:style>
  <w:style w:type="paragraph" w:customStyle="1" w:styleId="12">
    <w:name w:val="Абзац списку1"/>
    <w:basedOn w:val="a0"/>
    <w:rsid w:val="00FA1A8F"/>
    <w:pPr>
      <w:spacing w:after="0" w:line="240" w:lineRule="auto"/>
      <w:ind w:left="720"/>
      <w:contextualSpacing/>
    </w:pPr>
    <w:rPr>
      <w:rFonts w:ascii="Times New Roman" w:eastAsia="Times New Roman" w:hAnsi="Times New Roman" w:cs="Times New Roman"/>
      <w:iCs w:val="0"/>
      <w:sz w:val="24"/>
      <w:szCs w:val="24"/>
    </w:rPr>
  </w:style>
  <w:style w:type="paragraph" w:styleId="afc">
    <w:name w:val="footer"/>
    <w:basedOn w:val="a0"/>
    <w:link w:val="afd"/>
    <w:rsid w:val="00FA1A8F"/>
    <w:pPr>
      <w:tabs>
        <w:tab w:val="center" w:pos="4677"/>
        <w:tab w:val="right" w:pos="9355"/>
      </w:tabs>
      <w:spacing w:after="0" w:line="240" w:lineRule="auto"/>
    </w:pPr>
    <w:rPr>
      <w:rFonts w:ascii="Times New Roman" w:eastAsia="Times New Roman" w:hAnsi="Times New Roman" w:cs="Times New Roman"/>
      <w:iCs w:val="0"/>
      <w:sz w:val="24"/>
      <w:szCs w:val="24"/>
    </w:rPr>
  </w:style>
  <w:style w:type="character" w:customStyle="1" w:styleId="afd">
    <w:name w:val="Нижний колонтитул Знак"/>
    <w:basedOn w:val="a1"/>
    <w:link w:val="afc"/>
    <w:rsid w:val="00FA1A8F"/>
    <w:rPr>
      <w:rFonts w:ascii="Times New Roman" w:eastAsia="Times New Roman" w:hAnsi="Times New Roman" w:cs="Times New Roman"/>
      <w:sz w:val="24"/>
      <w:szCs w:val="24"/>
    </w:rPr>
  </w:style>
  <w:style w:type="paragraph" w:styleId="afe">
    <w:name w:val="header"/>
    <w:basedOn w:val="a0"/>
    <w:link w:val="aff"/>
    <w:rsid w:val="00FA1A8F"/>
    <w:pPr>
      <w:tabs>
        <w:tab w:val="center" w:pos="4677"/>
        <w:tab w:val="right" w:pos="9355"/>
      </w:tabs>
      <w:spacing w:after="0" w:line="240" w:lineRule="auto"/>
    </w:pPr>
    <w:rPr>
      <w:rFonts w:ascii="Times New Roman" w:eastAsia="Times New Roman" w:hAnsi="Times New Roman" w:cs="Times New Roman"/>
      <w:iCs w:val="0"/>
      <w:sz w:val="24"/>
      <w:szCs w:val="24"/>
    </w:rPr>
  </w:style>
  <w:style w:type="character" w:customStyle="1" w:styleId="aff">
    <w:name w:val="Верхний колонтитул Знак"/>
    <w:basedOn w:val="a1"/>
    <w:link w:val="afe"/>
    <w:rsid w:val="00FA1A8F"/>
    <w:rPr>
      <w:rFonts w:ascii="Times New Roman" w:eastAsia="Times New Roman" w:hAnsi="Times New Roman" w:cs="Times New Roman"/>
      <w:sz w:val="24"/>
      <w:szCs w:val="24"/>
    </w:rPr>
  </w:style>
  <w:style w:type="table" w:customStyle="1" w:styleId="13">
    <w:name w:val="Сітка таблиці1"/>
    <w:basedOn w:val="a2"/>
    <w:next w:val="af9"/>
    <w:rsid w:val="00FA1A8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20544</Words>
  <Characters>11711</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Шеф</dc:creator>
  <cp:lastModifiedBy>Людмила Крисько</cp:lastModifiedBy>
  <cp:revision>2</cp:revision>
  <dcterms:created xsi:type="dcterms:W3CDTF">2018-07-19T14:25:00Z</dcterms:created>
  <dcterms:modified xsi:type="dcterms:W3CDTF">2018-07-19T14:25:00Z</dcterms:modified>
</cp:coreProperties>
</file>