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DBA" w:rsidRDefault="00340DBA" w:rsidP="00711CA6">
      <w:pPr>
        <w:shd w:val="clear" w:color="auto" w:fill="FDFDFD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ТЕСТ</w:t>
      </w: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br/>
        <w:t>малого підприємництва (М-Тест)</w:t>
      </w:r>
      <w:r w:rsidR="00711CA6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 xml:space="preserve"> щодо оцінки </w:t>
      </w:r>
      <w:proofErr w:type="spellStart"/>
      <w:r w:rsidR="00711CA6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проєкту</w:t>
      </w:r>
      <w:proofErr w:type="spellEnd"/>
      <w:r w:rsidR="00711CA6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 xml:space="preserve"> рішення «Про затвердження П</w:t>
      </w:r>
      <w:r w:rsidR="006647A6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 xml:space="preserve">равил благоустрою </w:t>
      </w:r>
      <w:r w:rsidR="00711CA6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 xml:space="preserve">території </w:t>
      </w:r>
      <w:r w:rsidR="006647A6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 xml:space="preserve">населених пунктів </w:t>
      </w:r>
      <w:proofErr w:type="spellStart"/>
      <w:r w:rsidR="006647A6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Студениківської</w:t>
      </w:r>
      <w:proofErr w:type="spellEnd"/>
      <w:r w:rsidR="006647A6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 xml:space="preserve"> сільської територіальної громади</w:t>
      </w:r>
      <w:r w:rsidR="00711CA6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»</w:t>
      </w:r>
    </w:p>
    <w:p w:rsidR="00711CA6" w:rsidRPr="00340DBA" w:rsidRDefault="00711CA6" w:rsidP="00711CA6">
      <w:pPr>
        <w:shd w:val="clear" w:color="auto" w:fill="FDFDFD"/>
        <w:spacing w:after="0" w:line="240" w:lineRule="auto"/>
        <w:jc w:val="center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</w:p>
    <w:p w:rsidR="00340DBA" w:rsidRPr="00340DBA" w:rsidRDefault="00340DBA" w:rsidP="00340DBA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1. Консультації з представниками мікро- та малого підприємництва щодо оцінки впливу регулювання</w:t>
      </w:r>
      <w:r w:rsidR="00711CA6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.</w:t>
      </w:r>
    </w:p>
    <w:p w:rsidR="00340DBA" w:rsidRPr="00340DBA" w:rsidRDefault="00340DBA" w:rsidP="00340DBA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Консультації щодо визначення впливу запропонованого регулювання на суб'єктів малого підприємництва та визначення детального переліку процедур, виконання яких необхідно для здійснення регулювання, проведено розробником у період оприлюднення регуляторного акту.</w:t>
      </w:r>
    </w:p>
    <w:tbl>
      <w:tblPr>
        <w:tblW w:w="0" w:type="auto"/>
        <w:shd w:val="clear" w:color="auto" w:fill="FDFDF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0"/>
        <w:gridCol w:w="4089"/>
        <w:gridCol w:w="1700"/>
        <w:gridCol w:w="2220"/>
      </w:tblGrid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Порядковий номер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Вид консультації (публічні консультації прямі (круглі столи, наради, робочі зустрічі тощо), інтернет-консультації прямі (інтернет-форуми, соціальні мережі тощо), запити (до підприємців, експертів, науковців тощо)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Кількість учасників консультацій, осіб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Основні результати консультацій (опис)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Робочі зустрічі з суб'єктами малого підприємництва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Прогнозований вплив оцінено  позитивно.</w:t>
            </w:r>
          </w:p>
        </w:tc>
      </w:tr>
    </w:tbl>
    <w:p w:rsidR="00340DBA" w:rsidRPr="00340DBA" w:rsidRDefault="00340DBA" w:rsidP="00340DBA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2. Вимірювання впливу регулювання на суб'єктів малого підприємництва (мікро- та малі):</w:t>
      </w:r>
    </w:p>
    <w:p w:rsidR="00340DBA" w:rsidRPr="00340DBA" w:rsidRDefault="00340DBA" w:rsidP="00340DBA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 xml:space="preserve">кількість суб'єктів малого підприємництва, на яких поширюється регулювання: </w:t>
      </w:r>
      <w:r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251</w:t>
      </w: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 xml:space="preserve"> (одиниць), у тому </w:t>
      </w:r>
      <w:r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числі малого підприємництва 59</w:t>
      </w: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 xml:space="preserve"> (один</w:t>
      </w:r>
      <w:r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 xml:space="preserve">иць) та </w:t>
      </w:r>
      <w:proofErr w:type="spellStart"/>
      <w:r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мікропідприємництва</w:t>
      </w:r>
      <w:proofErr w:type="spellEnd"/>
      <w:r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 xml:space="preserve"> 151</w:t>
      </w: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 xml:space="preserve"> (одиниць);</w:t>
      </w:r>
    </w:p>
    <w:p w:rsidR="00340DBA" w:rsidRPr="00340DBA" w:rsidRDefault="00340DBA" w:rsidP="00340DBA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питома вага суб'єктів малого підприємництва у загальній кількості суб'єктів господарювання, на як</w:t>
      </w:r>
      <w:r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 xml:space="preserve">их проблема справляє вплив </w:t>
      </w: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 xml:space="preserve"> (відсотків).</w:t>
      </w:r>
    </w:p>
    <w:p w:rsidR="00340DBA" w:rsidRPr="00340DBA" w:rsidRDefault="00340DBA" w:rsidP="00340DBA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3. Розрахунок витрат суб'єктів малого підприємництва на виконання вимог регулювання</w:t>
      </w:r>
      <w:r w:rsidR="00711CA6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.</w:t>
      </w:r>
    </w:p>
    <w:tbl>
      <w:tblPr>
        <w:tblW w:w="0" w:type="auto"/>
        <w:shd w:val="clear" w:color="auto" w:fill="FDFDF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7"/>
        <w:gridCol w:w="3865"/>
        <w:gridCol w:w="1820"/>
        <w:gridCol w:w="1327"/>
        <w:gridCol w:w="1020"/>
      </w:tblGrid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Порядковий номер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Найменування оцінки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У перший рік (стартовий рік впровадження регулювання)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Періодичні (за наступний рік)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Витрати за п'ять років</w:t>
            </w:r>
          </w:p>
        </w:tc>
      </w:tr>
      <w:tr w:rsidR="00340DBA" w:rsidRPr="00340DBA" w:rsidTr="00340DBA">
        <w:tc>
          <w:tcPr>
            <w:tcW w:w="0" w:type="auto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Оцінка "прямих" витрат суб'єктів малого підприємництва на виконання регулювання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Придбання необхідного обладнання (пристроїв, машин, механізмів)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Процедури повірки та/або постановки на відповідний облік у визначеному органі державної влади чи місцевого самоврядування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Процедури експлуатації обладнання (експлуатаційні витрати - витратні матеріали)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Процедури обслуговування обладнання (технічне обслуговування)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Інші процедури (уточнити)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Разом, гривень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Кількість суб'єктів господарювання, що повинні виконати вимоги регулювання, одиниць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Сумарно, гривень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</w:tr>
      <w:tr w:rsidR="00340DBA" w:rsidRPr="00340DBA" w:rsidTr="00340DBA">
        <w:tc>
          <w:tcPr>
            <w:tcW w:w="0" w:type="auto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Оцінка вартості адміністративних процедур суб'єктів малого підприємництва щодо виконання регулювання та звітування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Процедури отримання первинної інформації про вимоги регулювання</w:t>
            </w: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br/>
            </w: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t xml:space="preserve">(Витрати часу на пошук інформації (час на отримання інформації щодо подачі заяви та пакету документів (1 год.) х на вартість часу суб’єкта господарювання – 1,0 год. х 25,13 грн. (розмір погодинної </w:t>
            </w: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lastRenderedPageBreak/>
              <w:t>мінімальної заробітної плати (станом на 01.01.2019 р.)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lastRenderedPageBreak/>
              <w:t>1 година</w:t>
            </w:r>
          </w:p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t>25,13  грн.</w:t>
            </w:r>
          </w:p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Процедури організації виконання вимог регулювання</w:t>
            </w: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br/>
            </w: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t>(витрати на організацію внутрішніх для суб’єктів господарювання процедур упровадження вимог регулювання – 8 год. х 25,13 грн. = 201,04 грн.)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t>1 робочий день</w:t>
            </w:r>
          </w:p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t>201,04 грн.</w:t>
            </w:r>
          </w:p>
          <w:p w:rsidR="00340DBA" w:rsidRPr="00340DBA" w:rsidRDefault="00340DBA" w:rsidP="00340DBA">
            <w:pPr>
              <w:spacing w:after="15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 </w:t>
            </w:r>
          </w:p>
          <w:p w:rsidR="00340DBA" w:rsidRPr="00340DBA" w:rsidRDefault="00340DBA" w:rsidP="00340DBA">
            <w:pPr>
              <w:spacing w:after="15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 </w:t>
            </w:r>
          </w:p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Процедури офіційного звітування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Процедури щодо забезпечення процесу перевірок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t>-</w:t>
            </w:r>
          </w:p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Інші процедури (уточнити)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Разом, гривень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t>226,17 грн.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Кількість суб'єктів малого підприємництва, що повинні виконати вимоги регулювання, одиниць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t>4794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Сумарно, гривень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t>1084258,98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 </w:t>
            </w:r>
          </w:p>
        </w:tc>
      </w:tr>
    </w:tbl>
    <w:p w:rsidR="00340DBA" w:rsidRPr="00340DBA" w:rsidRDefault="00340DBA" w:rsidP="00340DBA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 </w:t>
      </w:r>
    </w:p>
    <w:p w:rsidR="00340DBA" w:rsidRPr="00340DBA" w:rsidRDefault="00340DBA" w:rsidP="00340DBA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 </w:t>
      </w:r>
    </w:p>
    <w:p w:rsidR="00340DBA" w:rsidRPr="00340DBA" w:rsidRDefault="00340DBA" w:rsidP="00340DBA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Бюджетні витрати на адміністрування регулювання суб’єктів малого підприємництва</w:t>
      </w:r>
      <w:r w:rsidR="00711CA6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.</w:t>
      </w:r>
    </w:p>
    <w:p w:rsidR="00340DBA" w:rsidRPr="00340DBA" w:rsidRDefault="00340DBA" w:rsidP="00340DBA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Державний орган, для якого здійснюється розрахунок вартості адміністрування регулювання:</w:t>
      </w:r>
    </w:p>
    <w:p w:rsidR="00340DBA" w:rsidRPr="00340DBA" w:rsidRDefault="006647A6" w:rsidP="00340DBA">
      <w:pPr>
        <w:shd w:val="clear" w:color="auto" w:fill="FDFDFD"/>
        <w:spacing w:after="0" w:line="240" w:lineRule="auto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  <w:r>
        <w:rPr>
          <w:rFonts w:ascii="Conv_Rubik-Regular" w:eastAsia="Times New Roman" w:hAnsi="Conv_Rubik-Regular" w:cs="Times New Roman" w:hint="eastAsia"/>
          <w:i/>
          <w:iCs/>
          <w:color w:val="252B33"/>
          <w:sz w:val="21"/>
          <w:szCs w:val="21"/>
          <w:lang w:val="uk-UA" w:eastAsia="ru-RU"/>
        </w:rPr>
        <w:t>В</w:t>
      </w:r>
      <w:r>
        <w:rPr>
          <w:rFonts w:ascii="Conv_Rubik-Regular" w:eastAsia="Times New Roman" w:hAnsi="Conv_Rubik-Regular" w:cs="Times New Roman"/>
          <w:i/>
          <w:iCs/>
          <w:color w:val="252B33"/>
          <w:sz w:val="21"/>
          <w:szCs w:val="21"/>
          <w:lang w:val="uk-UA" w:eastAsia="ru-RU"/>
        </w:rPr>
        <w:t xml:space="preserve">иконавчий комітет </w:t>
      </w:r>
      <w:proofErr w:type="spellStart"/>
      <w:r>
        <w:rPr>
          <w:rFonts w:ascii="Conv_Rubik-Regular" w:eastAsia="Times New Roman" w:hAnsi="Conv_Rubik-Regular" w:cs="Times New Roman"/>
          <w:i/>
          <w:iCs/>
          <w:color w:val="252B33"/>
          <w:sz w:val="21"/>
          <w:szCs w:val="21"/>
          <w:lang w:val="uk-UA" w:eastAsia="ru-RU"/>
        </w:rPr>
        <w:t>Студениківської</w:t>
      </w:r>
      <w:proofErr w:type="spellEnd"/>
      <w:r>
        <w:rPr>
          <w:rFonts w:ascii="Conv_Rubik-Regular" w:eastAsia="Times New Roman" w:hAnsi="Conv_Rubik-Regular" w:cs="Times New Roman"/>
          <w:i/>
          <w:iCs/>
          <w:color w:val="252B33"/>
          <w:sz w:val="21"/>
          <w:szCs w:val="21"/>
          <w:lang w:val="uk-UA" w:eastAsia="ru-RU"/>
        </w:rPr>
        <w:t xml:space="preserve"> сільської ради</w:t>
      </w:r>
    </w:p>
    <w:p w:rsidR="00340DBA" w:rsidRPr="00340DBA" w:rsidRDefault="00340DBA" w:rsidP="00340DBA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(назва державного органу)</w:t>
      </w:r>
    </w:p>
    <w:tbl>
      <w:tblPr>
        <w:tblW w:w="0" w:type="auto"/>
        <w:shd w:val="clear" w:color="auto" w:fill="FDFDF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9"/>
        <w:gridCol w:w="1124"/>
        <w:gridCol w:w="1542"/>
        <w:gridCol w:w="1284"/>
        <w:gridCol w:w="1374"/>
        <w:gridCol w:w="1756"/>
      </w:tblGrid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 xml:space="preserve">Процедура регулювання суб'єктів малого підприємництва (розрахунок на одного типового суб'єкта господарювання малого підприємництва - за потреби окремо для суб'єктів малого та </w:t>
            </w:r>
            <w:proofErr w:type="spellStart"/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мікропідприємництв</w:t>
            </w:r>
            <w:proofErr w:type="spellEnd"/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Планові витрати часу на процедуру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Вартість часу співробітника органу державної влади відповідної категорії (заробітна плата)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Оцінка кількості процедур за рік, що припадають на одного суб'єкта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Оцінка кількості суб'єктів, що підпадають під дію процедури регулювання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Витрати на адміністрування регулювання* (за рік), гривень</w:t>
            </w:r>
          </w:p>
        </w:tc>
      </w:tr>
      <w:tr w:rsidR="00340DBA" w:rsidRPr="00711CA6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1. Інформування суб’єкта господарювання, що перебуває у сфері регулювання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t>0,3 год.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t>29,64 грн.</w:t>
            </w:r>
          </w:p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t>(98,8 грн./год. середня заробітна плата працівника відповідного органу державної влади 2018 року – 14135 грн. / середня тривалість робочого часу 143 год./міс.)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t>4794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t>142094,16 грн.(вартість часу працівника х кількість суб’єктів господарювання, що підпадають під дію регулювання)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 xml:space="preserve">2. Опрацювання наданих документів суб’єктом господарювання, що </w:t>
            </w: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lastRenderedPageBreak/>
              <w:t>перебуває у сфері регулювання,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lastRenderedPageBreak/>
              <w:t>0,4 год.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t>39,52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t>4794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i/>
                <w:iCs/>
                <w:color w:val="252B33"/>
                <w:sz w:val="21"/>
                <w:szCs w:val="21"/>
                <w:lang w:val="uk-UA" w:eastAsia="ru-RU"/>
              </w:rPr>
              <w:t>189458,9 грн.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lastRenderedPageBreak/>
              <w:t>3. Підготовка звітності за результатами регулювання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4. Інші адміністративні процедури (уточнити)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Разом за рік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331553,06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Сумарно за п'ять років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Х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 </w:t>
            </w:r>
          </w:p>
        </w:tc>
      </w:tr>
    </w:tbl>
    <w:p w:rsidR="00340DBA" w:rsidRPr="00340DBA" w:rsidRDefault="00340DBA" w:rsidP="00340DBA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 </w:t>
      </w:r>
    </w:p>
    <w:p w:rsidR="00340DBA" w:rsidRPr="00340DBA" w:rsidRDefault="00340DBA" w:rsidP="00340DBA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3. Розрахунок сумарних витрат суб’єктів малого підприємництва, що виникають на виконання вимог регулювання</w:t>
      </w:r>
      <w:r w:rsidR="00711CA6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.</w:t>
      </w:r>
      <w:bookmarkStart w:id="0" w:name="_GoBack"/>
      <w:bookmarkEnd w:id="0"/>
    </w:p>
    <w:p w:rsidR="00340DBA" w:rsidRPr="00340DBA" w:rsidRDefault="00340DBA" w:rsidP="00340DBA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грн.</w:t>
      </w:r>
    </w:p>
    <w:tbl>
      <w:tblPr>
        <w:tblW w:w="0" w:type="auto"/>
        <w:shd w:val="clear" w:color="auto" w:fill="FDFDF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"/>
        <w:gridCol w:w="5677"/>
        <w:gridCol w:w="2335"/>
        <w:gridCol w:w="976"/>
      </w:tblGrid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Показник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Перший рік регулювання (стартовий)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За п’ять років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Оцінка “прямих” витрат суб’єктів малого підприємництва на виконання регулювання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Х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Оцінка вартості адміністративних процедур для суб’єктів малого підприємництва щодо виконання регулювання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1084258,98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Х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Сумарні витрати малого підприємництва на виконання запланованого регулювання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1084258,98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Х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Бюджетні витрати на адміністрування регулювання суб’єктів малого підприємництва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331553,06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Х</w:t>
            </w:r>
          </w:p>
        </w:tc>
      </w:tr>
      <w:tr w:rsidR="00340DBA" w:rsidRPr="00340DBA" w:rsidTr="00340DBA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Сумарні витрати на виконання запланованого регулювання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2500071,02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DFDFD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40DBA" w:rsidRPr="00340DBA" w:rsidRDefault="00340DBA" w:rsidP="00340DBA">
            <w:pPr>
              <w:spacing w:after="0" w:line="240" w:lineRule="atLeast"/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</w:pPr>
            <w:r w:rsidRPr="00340DBA">
              <w:rPr>
                <w:rFonts w:ascii="Conv_Rubik-Regular" w:eastAsia="Times New Roman" w:hAnsi="Conv_Rubik-Regular" w:cs="Times New Roman"/>
                <w:color w:val="252B33"/>
                <w:sz w:val="21"/>
                <w:szCs w:val="21"/>
                <w:lang w:val="uk-UA" w:eastAsia="ru-RU"/>
              </w:rPr>
              <w:t>Х</w:t>
            </w:r>
          </w:p>
        </w:tc>
      </w:tr>
    </w:tbl>
    <w:p w:rsidR="00340DBA" w:rsidRPr="00340DBA" w:rsidRDefault="00340DBA" w:rsidP="00340DBA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 </w:t>
      </w:r>
    </w:p>
    <w:p w:rsidR="00340DBA" w:rsidRPr="00340DBA" w:rsidRDefault="00340DBA" w:rsidP="00340DBA">
      <w:pPr>
        <w:shd w:val="clear" w:color="auto" w:fill="FDFDFD"/>
        <w:spacing w:after="150" w:line="240" w:lineRule="auto"/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</w:pPr>
      <w:r w:rsidRPr="00340DBA">
        <w:rPr>
          <w:rFonts w:ascii="Conv_Rubik-Regular" w:eastAsia="Times New Roman" w:hAnsi="Conv_Rubik-Regular" w:cs="Times New Roman"/>
          <w:color w:val="252B33"/>
          <w:sz w:val="21"/>
          <w:szCs w:val="21"/>
          <w:lang w:val="uk-UA" w:eastAsia="ru-RU"/>
        </w:rPr>
        <w:t> </w:t>
      </w:r>
    </w:p>
    <w:p w:rsidR="002106E9" w:rsidRPr="00340DBA" w:rsidRDefault="002106E9" w:rsidP="00340DBA"/>
    <w:sectPr w:rsidR="002106E9" w:rsidRPr="00340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4618F"/>
    <w:multiLevelType w:val="hybridMultilevel"/>
    <w:tmpl w:val="70C0E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E86"/>
    <w:rsid w:val="002106E9"/>
    <w:rsid w:val="002A0DF6"/>
    <w:rsid w:val="00340DBA"/>
    <w:rsid w:val="006647A6"/>
    <w:rsid w:val="00711CA6"/>
    <w:rsid w:val="00B30F98"/>
    <w:rsid w:val="00C97267"/>
    <w:rsid w:val="00D46E86"/>
    <w:rsid w:val="00F3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8A287"/>
  <w15:chartTrackingRefBased/>
  <w15:docId w15:val="{3B3E7A8F-4B00-49C2-B3F0-101AC4309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8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0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0D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Yurist3</dc:creator>
  <cp:keywords/>
  <dc:description/>
  <cp:lastModifiedBy>Daryna</cp:lastModifiedBy>
  <cp:revision>7</cp:revision>
  <cp:lastPrinted>2021-04-09T07:03:00Z</cp:lastPrinted>
  <dcterms:created xsi:type="dcterms:W3CDTF">2021-04-08T11:24:00Z</dcterms:created>
  <dcterms:modified xsi:type="dcterms:W3CDTF">2021-07-20T13:48:00Z</dcterms:modified>
</cp:coreProperties>
</file>