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5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Аналіз регуляторного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 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впливу</w:t>
      </w:r>
    </w:p>
    <w:p>
      <w:pPr>
        <w:spacing w:before="0" w:after="15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проекту рішення</w:t>
      </w:r>
    </w:p>
    <w:p>
      <w:pPr>
        <w:spacing w:before="0" w:after="15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П’ядицької сільської ради об’єднаної територіальної громади</w:t>
      </w:r>
    </w:p>
    <w:p>
      <w:pPr>
        <w:spacing w:before="0" w:after="15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 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Про встановлення місцевих податків і зборів на 2020 рік</w:t>
      </w:r>
    </w:p>
    <w:p>
      <w:pPr>
        <w:spacing w:before="0" w:after="15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на території П’ядицької сільської ради ОТГ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»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Аналіз регуляторного впливу проекту рішення сільської ради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встановлення місцевих податків і зборів на 2020 рік на території П’ядицької сільської ради ОТГ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підготовлено згідно з вимогами Закону України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 засади державної регуляторної політики у сфері господарської діяльності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Методики проведення аналізу впливу регуляторного акта, затвердженої постановою Кабінету Міністрів України від 11.03.04 № 308.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І. Визначення  проблеми</w:t>
      </w: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Податковий кодекс України є законодавчим актом вищої юридичної сили, який регулює відносини, що виникають у процесі встановлення та скасування податків та зборів в Україні, визначає вичерпний перелік податків та зборів, які  справляють в Україні, та порядок їхнього адміністрування, платників податків та зборів, їхні права та обов’язки, компетенцію контролюючих органів, повноваження й обов’язки  посадових осіб під час здійснення податкового контролю, а також відповідальність за порушення податкового законодавства.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Статтею 10 Податкового кодексу України визначено перелік місцевих податків і зборів. До місцевих податків належать: єдиний податок та податок на майно. До місцевих зборів належать: збір за місця для паркування транспортних засобів та туристичний збір. Відповідно до статті 265 Податкового Кодексу України податок на майно складається з податку на нерухоме майно, відмінне від земельної ділянки; транспортного податку; плати за землю.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Установлення місцевих податків та зборів, не передбачених Податковим кодексом України, забороняється.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Пунктом 24 частини 1 статті 26 Закону України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 місцеве самоврядування в Україні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задекларовано, що встановлення місцевих податків і зборів відповідно до Податкового Кодексу України, відноситься до виключної компетенції сільських, селищних, міських рад.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Згідно з вимогами п.12.3.4 статті 12 Податкового Кодексу України рішення про встановлення місцевих податків та зборів офіційно оприлюднює відповідний орган місцевого самоврядування до 15 липня року, що передує бюджетному періоду, в якому планують застосовування встановлюваних місцевих податків та зборів або змін (плановий період). В іншому разі норми відповідних рішень застосовують не раніше початку бюджетного періоду, що настає за плановим періодом.</w:t>
      </w:r>
    </w:p>
    <w:p>
      <w:pPr>
        <w:spacing w:before="0" w:after="15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  <w:t xml:space="preserve">Обґрунтування необхідності державного регулювання</w:t>
      </w:r>
    </w:p>
    <w:p>
      <w:pPr>
        <w:spacing w:before="0" w:after="15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  <w:t xml:space="preserve">та неможливості розв’язання проблеми </w:t>
      </w:r>
    </w:p>
    <w:p>
      <w:pPr>
        <w:spacing w:before="0" w:after="15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  <w:t xml:space="preserve">за допомогою чинного регулювання.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Проблема, яку пропонується вирішити шляхом прийняття відповідного регуляторного акта, дуже важлива для всіх членів територіальної громади. Мотивацією для прийняття даного рішення є те, що згідно з нормами Податкового кодексу України, не встановлення відповідних місцевих податків і зборів спричинить значні втрати сільського бюджету, оскільки справляння таких податків буде здійснюватись із застосуванням їхніх мінімальних ставок. Визначені місцеві податки і збори, відповідно до чинного законодавства, є джерелом формування загального фонду сільського бюджету, і кошти від їхнього надходження спрямовують на забезпечення діяльності функціонування бюджетних установ та благоустрій населених пунктів громади. Суб’єктами, на яких неврегульованість зазначеної проблеми справлятиме негативний вплив, є: платники місцевих податків і зборів; органи державної податкової служби, на які покладені функції зі справляння місцевих податків і зборів; сільська рада, яка повинна чітко дотримуватися принципу верховенства закону. 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Таким чином указана проблема потребує розв’язання шляхом ухвалення рішення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 встановлення місцевих податків і зборів на 2020 рік на території П’ядицької сільської ради ОТГ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».</w:t>
      </w: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ІІ. Цілі державного регулювання </w:t>
      </w: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5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Проект регуляторного акта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 встановлення місцевих податків і зборів на 2020 рік на території П’ядицької сільської ради ОТГ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розроблено на виконання вимог Податкового кодексу України та спрямований на розв’язання проблеми, визначеної у попередньому розділі аналізу регуляторного впливу, в цілому. Основними цілями його прийняття є:</w:t>
      </w:r>
    </w:p>
    <w:p>
      <w:pPr>
        <w:spacing w:before="0" w:after="15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приведення чинного регулювання у відповідність до норм Податкового кодексу України;</w:t>
      </w:r>
    </w:p>
    <w:p>
      <w:pPr>
        <w:spacing w:before="0" w:after="15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збільшення надходжень до сільського бюджету у вигляді окремих місцевих податків і зборів;</w:t>
      </w:r>
    </w:p>
    <w:p>
      <w:pPr>
        <w:spacing w:before="0" w:after="15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установлення доцільних та обгрунтованих розмірів ставок місцевих податків і зборів з урахуванням рівня платоспроможності суб’єктів господарювання та підвищення мотивації громадян до зайняття окремими видами підприємницької діяльності шляхом ранжування ставок єдиного податку;</w:t>
      </w:r>
    </w:p>
    <w:p>
      <w:pPr>
        <w:spacing w:before="0" w:after="15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удосконалення відносин між сільською радою, Коломийською ОДПІ ГУ ДФС у Івано-Франківській області та суб’єктами господарювання, пов’язаними з оподаткуванням місцевими податками і зборами.</w:t>
      </w: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ІІІ. Визначення та оцінка</w:t>
      </w: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альтернативних способів досягнення цілей</w:t>
      </w:r>
    </w:p>
    <w:p>
      <w:pPr>
        <w:spacing w:before="0" w:after="0" w:line="240"/>
        <w:ind w:right="0" w:left="0" w:firstLine="708"/>
        <w:jc w:val="center"/>
        <w:rPr>
          <w:rFonts w:ascii="Arial" w:hAnsi="Arial" w:cs="Arial" w:eastAsia="Arial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Під час розробки проекту рішення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 встановлення місцевих податків і зборів на 2020 рік на території П’ядицької сільської ради ОТГ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було розглянуто такі альтернативні способи досягнення визначених цілей: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а) відмова від введення в дію запропонованого акта. Відмова від введення в дію запропонованого регуляторного акта призведе до виникнення непорозумінь між платниками податків та органами державної податкової служби щодо порядку справляння місцевих податків і зборів на території П'ядицької об’єднаної територіальної громади. Одночасно з цим не буде забезпечено виконання вимог чинного законодавства.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б) здійснення регулювання нормативним актом іншого органу. Здійснення регулювання нормативним актом іншого органу не є можливим у зв’язку з тим, що право самостійно встановлювати і визначати порядок сплати місцевих податків і зборів відповідно до чинного законодавства належить до виключної компетенції сільських, селищних, міських рад.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в) ухвадлення даного регуляторного акта. Прийняття даного регуляторного акта дозволить розв’язати визначену проблему в цілому. Проект рішення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 встановлення місцевих податків і зборів на 2020 рік на території П’ядицької сільської ради ОТГ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розроблено із врахуванням загальних засад встановлення і відповідають нормам Податкового кодексу України. Цей регуляторний акт дасть змогу привести у відповідність та вдосконалити відносини, що виникають у процесі оподаткування. Затвердження такого регуляторного акта забезпечить досягнення встановлених цілей відповідатиме потребам у розв’язанні визначеної проблеми та принципам державної регуляторної політики.</w:t>
      </w:r>
    </w:p>
    <w:p>
      <w:pPr>
        <w:spacing w:before="100" w:after="15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IV.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Механізм та заходи,                                                                                               які забезпечать розв’язання визначеної проблеми</w:t>
      </w:r>
    </w:p>
    <w:p>
      <w:pPr>
        <w:spacing w:before="100" w:after="150" w:line="240"/>
        <w:ind w:right="0" w:left="0" w:firstLine="708"/>
        <w:jc w:val="both"/>
        <w:rPr>
          <w:rFonts w:ascii="Arial" w:hAnsi="Arial" w:cs="Arial" w:eastAsia="Arial"/>
          <w:color w:val="auto"/>
          <w:spacing w:val="0"/>
          <w:position w:val="0"/>
          <w:sz w:val="21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Основним механізмом, який забезпечить розв’язання визначеної проблеми є ухвалення рішення сільської ради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 встановлення місцевих податків і зборів на 2020 рік на території П’ядицької сільської ради ОТГ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будуть затверджені ставки місцевих податків і зборів. По кожному виду місцевого податку і збору визначають платників податку; об’єкт оподаткування; база оподаткування; ставка податку; податковий період; порядок обчислення суми податку; строки сплати податку; порядок сплати податку; строки на порядок подання звітності про обчислення і сплату податку; податкові пільги та порядок їх застосування.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  <w:t xml:space="preserve">Організаційні заходи для впровадження регулювання.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Для впровадження цього регуляторного акта необхідно здійснити такі організаційні заходи: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а) розроблення проекту регуляторного акту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 встановлення місцевих податків і зборів на 2020 рік на території П’ядицької сільської ради ОТГ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та аналізу регуляторного впливу;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б) забезпечити інформування громадськості про положення регуляторного акта шляхом оприлюднення на дошках оголошень або у мережі Інтернет – на офіційному веб-сайті П’ядицької сільської ради ОТГ;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в) затвердження рішення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 встановлення місцевих податків і зборів на 2020 рік на території П’ядицької сільської ради ОТГ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»;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г) сприяння веденню підприємницької діяльності суб’єктами господарювання, які є платниками місцевих податків і зборів, з метою росту рівня їхньої платоспроможності;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д) забезпечення надходжень установлених податків і зборів до міського бюджету.</w:t>
      </w:r>
    </w:p>
    <w:p>
      <w:pPr>
        <w:spacing w:before="100" w:after="15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V.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Можливість досягнення визначених цілей </w:t>
      </w:r>
    </w:p>
    <w:p>
      <w:pPr>
        <w:spacing w:before="100" w:after="15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1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у разі прийняття регуляторного акта</w:t>
      </w:r>
    </w:p>
    <w:p>
      <w:pPr>
        <w:spacing w:before="0" w:after="15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  <w:t xml:space="preserve">Вплив зовнішніх факторів на дію регуляторного акта.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На дію регуляторного акта можуть вплинути зміни в чинному законодавстві. Вплив може мати як позитивний, так і негативний характер (зменшення або збільшення мінімальної заробітної плати; зменшення або збільшення мінімального прожиткового мінімуму; розширення або звуження кола платників; внесення змін або відміна на державному рівні порядку сплати місцевих податків і зборів тощо).</w:t>
      </w:r>
    </w:p>
    <w:p>
      <w:pPr>
        <w:spacing w:before="0" w:after="15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  <w:t xml:space="preserve">Оцінка можливості впровадження</w:t>
      </w:r>
    </w:p>
    <w:p>
      <w:pPr>
        <w:spacing w:before="0" w:after="15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  <w:t xml:space="preserve">та виконання вимог регуляторного акта.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Реалізація запропонованого регуляторного акта не потребує додаткових матеріальних та фінансових витрат органу місцевого самоврядування з сільського бюджету. Адміністрування даного регуляторного акта буде проводитись на рівні податкової служби. Суб’єкти господарської діяльності – платники місцевих податків і зборів сплачуватимуть вищезазначені податки в межах, встановлених на законодавчому рівні.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FFFFFF" w:val="clear"/>
        </w:rPr>
        <w:t xml:space="preserve">Нагляд та контроль за додержанням вимог акта.</w:t>
      </w:r>
    </w:p>
    <w:p>
      <w:pPr>
        <w:spacing w:before="0" w:after="15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Нагляд та контроль за додержанням вимог рішення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Про встановлення місцевих податків і зборів на 2020 рік на території П’ядицької сільської ради ОТГ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здійснюватиме Коломийська ОДПІ ГУ ДФС у Івано-Франківській області, на яку покладені обов’язки контролю за справлянням місцевих податків і зборів. 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V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І. Очікувані результати прийняття акту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Дія зазначеного регуляторного акту поширюється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фізичних осіб, фізичних осіб – підприємців,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юридичних осіб, органи місцевого самоврядування, територіальну громаду.</w:t>
      </w:r>
    </w:p>
    <w:p>
      <w:pPr>
        <w:spacing w:before="0" w:after="15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Для визначення очікуваних результатів ухвалення запропонованого регуляторного акту, які виникають у різних груп суб’єктів, на яких поширюється дія цього акту, наведена таблиця аналізу вигод та витрат.</w:t>
      </w:r>
    </w:p>
    <w:p>
      <w:pPr>
        <w:spacing w:before="0" w:after="15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tbl>
      <w:tblPr/>
      <w:tblGrid>
        <w:gridCol w:w="2351"/>
        <w:gridCol w:w="4232"/>
        <w:gridCol w:w="3012"/>
      </w:tblGrid>
      <w:tr>
        <w:trPr>
          <w:trHeight w:val="1" w:hRule="atLeast"/>
          <w:jc w:val="left"/>
        </w:trPr>
        <w:tc>
          <w:tcPr>
            <w:tcW w:w="23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20" w:type="dxa"/>
              <w:right w:w="120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Сфера впливу</w:t>
            </w:r>
          </w:p>
        </w:tc>
        <w:tc>
          <w:tcPr>
            <w:tcW w:w="42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20" w:type="dxa"/>
              <w:right w:w="120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Вигоди</w:t>
            </w:r>
          </w:p>
        </w:tc>
        <w:tc>
          <w:tcPr>
            <w:tcW w:w="30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20" w:type="dxa"/>
              <w:right w:w="120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Витрати</w:t>
            </w:r>
          </w:p>
        </w:tc>
      </w:tr>
      <w:tr>
        <w:trPr>
          <w:trHeight w:val="1" w:hRule="atLeast"/>
          <w:jc w:val="left"/>
        </w:trPr>
        <w:tc>
          <w:tcPr>
            <w:tcW w:w="23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20" w:type="dxa"/>
              <w:right w:w="120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П’ядицька сільська рада об’єднаної територіальної громади</w:t>
            </w:r>
          </w:p>
        </w:tc>
        <w:tc>
          <w:tcPr>
            <w:tcW w:w="42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20" w:type="dxa"/>
              <w:right w:w="120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Надходження до сільського бюджету, своєчасне фінансування бюджетної сфери, здійснення робіт по благоустрою</w:t>
            </w:r>
          </w:p>
        </w:tc>
        <w:tc>
          <w:tcPr>
            <w:tcW w:w="30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20" w:type="dxa"/>
              <w:right w:w="120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Відсутні</w:t>
            </w:r>
          </w:p>
        </w:tc>
      </w:tr>
      <w:tr>
        <w:trPr>
          <w:trHeight w:val="1" w:hRule="atLeast"/>
          <w:jc w:val="left"/>
        </w:trPr>
        <w:tc>
          <w:tcPr>
            <w:tcW w:w="23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20" w:type="dxa"/>
              <w:right w:w="120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П’ядицька сільська рада об’єднаної</w:t>
            </w:r>
          </w:p>
        </w:tc>
        <w:tc>
          <w:tcPr>
            <w:tcW w:w="42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20" w:type="dxa"/>
              <w:right w:w="120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Чітке встановлення ставок місцевих податків та зборів;</w:t>
            </w:r>
          </w:p>
          <w:p>
            <w:pPr>
              <w:spacing w:before="0" w:after="15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 </w:t>
            </w:r>
          </w:p>
        </w:tc>
        <w:tc>
          <w:tcPr>
            <w:tcW w:w="30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20" w:type="dxa"/>
              <w:right w:w="120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Процедура розробки та прийняття регуляторного акта</w:t>
            </w:r>
          </w:p>
        </w:tc>
      </w:tr>
      <w:tr>
        <w:trPr>
          <w:trHeight w:val="1" w:hRule="atLeast"/>
          <w:jc w:val="left"/>
        </w:trPr>
        <w:tc>
          <w:tcPr>
            <w:tcW w:w="23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20" w:type="dxa"/>
              <w:right w:w="120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Фізичні особи, фізичні особи – підприємці та юридичні особи</w:t>
            </w:r>
          </w:p>
        </w:tc>
        <w:tc>
          <w:tcPr>
            <w:tcW w:w="42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20" w:type="dxa"/>
              <w:right w:w="120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Прозорість дій місцевих органів влади</w:t>
            </w:r>
          </w:p>
        </w:tc>
        <w:tc>
          <w:tcPr>
            <w:tcW w:w="30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20" w:type="dxa"/>
              <w:right w:w="120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Витрати, пов’язані зі сплатою податку</w:t>
            </w:r>
          </w:p>
        </w:tc>
      </w:tr>
    </w:tbl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V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ІІ. Обгрунтування запропонованого строку дії регуляторного акта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Термін дії запропонованого регуляторного встановлює з 01 січня 2020 року по 31 грудня 2020 року, із можливістю внесення до нього змін та його відміни у разі зміни чинного законодавства.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V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ІІІ. Визначення показників результативності дії регуляторного акта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Ухвалення вищезазначеного рішення сільської ради надає можливість:</w:t>
      </w:r>
    </w:p>
    <w:p>
      <w:pPr>
        <w:numPr>
          <w:ilvl w:val="0"/>
          <w:numId w:val="36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отримати стабільні надходження до сільського бюджету;</w:t>
      </w:r>
    </w:p>
    <w:p>
      <w:pPr>
        <w:numPr>
          <w:ilvl w:val="0"/>
          <w:numId w:val="36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збільшити обсяги видатків для забезпечення фінансування повноважень органів місцевого самоврядування;</w:t>
      </w:r>
    </w:p>
    <w:p>
      <w:pPr>
        <w:numPr>
          <w:ilvl w:val="0"/>
          <w:numId w:val="36"/>
        </w:numPr>
        <w:spacing w:before="0" w:after="15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21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збільшення рівня поінформованості платників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податку з основних положень регуляторного акту.</w:t>
      </w:r>
      <w:r>
        <w:rPr>
          <w:rFonts w:ascii="Arial" w:hAnsi="Arial" w:cs="Arial" w:eastAsia="Arial"/>
          <w:color w:val="auto"/>
          <w:spacing w:val="0"/>
          <w:position w:val="0"/>
          <w:sz w:val="21"/>
          <w:shd w:fill="FFFFFF" w:val="clear"/>
        </w:rPr>
        <w:t xml:space="preserve"> 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ІX. Визначення заходів,</w:t>
      </w: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 допомогою яких здійснюватимуть</w:t>
      </w: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відстеження результативності дії регуляторного акта</w:t>
      </w: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Базове відстеження результативності дії регуляторного акта буде проведено на етапі його підготовки.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Повторне відстеження  - через рік після набрання ним чинності.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Періодичне – один раз на кожні три роки починаючи з дня закінчення заходів з повторного відстеження результативності акта.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Буде застосовуватися статистичний та соціологічний метод відстеження результативності.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П’ядицький сільський голова ОТГ              Петро Гайдейчук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3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