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49" w:rsidRDefault="00931649" w:rsidP="00931649">
      <w:pPr>
        <w:pStyle w:val="a9"/>
        <w:jc w:val="center"/>
        <w:rPr>
          <w:b/>
          <w:noProof/>
          <w:szCs w:val="24"/>
          <w:lang w:val="uk-UA" w:eastAsia="uk-UA"/>
        </w:rPr>
      </w:pPr>
      <w:r w:rsidRPr="009B765E">
        <w:rPr>
          <w:b/>
          <w:noProof/>
          <w:lang w:eastAsia="ru-RU"/>
        </w:rPr>
        <w:drawing>
          <wp:inline distT="0" distB="0" distL="0" distR="0">
            <wp:extent cx="438997" cy="5810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06" cy="584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64D8">
        <w:rPr>
          <w:b/>
          <w:noProof/>
          <w:szCs w:val="24"/>
          <w:lang w:val="uk-UA" w:eastAsia="uk-UA"/>
        </w:rPr>
        <w:t xml:space="preserve"> </w:t>
      </w:r>
    </w:p>
    <w:p w:rsidR="00E864D8" w:rsidRDefault="00E864D8" w:rsidP="00931649">
      <w:pPr>
        <w:pStyle w:val="a9"/>
        <w:jc w:val="center"/>
        <w:rPr>
          <w:b/>
          <w:noProof/>
          <w:szCs w:val="24"/>
          <w:lang w:val="uk-UA" w:eastAsia="uk-UA"/>
        </w:rPr>
      </w:pPr>
    </w:p>
    <w:p w:rsidR="008963B1" w:rsidRPr="0028403B" w:rsidRDefault="008963B1" w:rsidP="0028403B">
      <w:pPr>
        <w:jc w:val="center"/>
        <w:rPr>
          <w:b/>
          <w:noProof/>
          <w:lang w:val="uk-UA" w:eastAsia="uk-UA"/>
        </w:rPr>
      </w:pPr>
      <w:r w:rsidRPr="0028403B">
        <w:rPr>
          <w:b/>
          <w:noProof/>
          <w:lang w:val="uk-UA" w:eastAsia="uk-UA"/>
        </w:rPr>
        <w:t>УКРАЇНА</w:t>
      </w:r>
    </w:p>
    <w:p w:rsidR="00931649" w:rsidRPr="0028403B" w:rsidRDefault="00931649" w:rsidP="0028403B">
      <w:pPr>
        <w:jc w:val="center"/>
        <w:rPr>
          <w:b/>
          <w:bCs/>
          <w:lang w:val="uk-UA"/>
        </w:rPr>
      </w:pPr>
      <w:proofErr w:type="spellStart"/>
      <w:r w:rsidRPr="0028403B">
        <w:rPr>
          <w:b/>
          <w:bCs/>
          <w:lang w:val="uk-UA"/>
        </w:rPr>
        <w:t>П’ядицька</w:t>
      </w:r>
      <w:proofErr w:type="spellEnd"/>
      <w:r w:rsidRPr="0028403B">
        <w:rPr>
          <w:b/>
          <w:bCs/>
          <w:lang w:val="uk-UA"/>
        </w:rPr>
        <w:t xml:space="preserve"> сільська рада</w:t>
      </w:r>
    </w:p>
    <w:p w:rsidR="00931649" w:rsidRPr="0028403B" w:rsidRDefault="00931649" w:rsidP="0028403B">
      <w:pPr>
        <w:jc w:val="center"/>
        <w:rPr>
          <w:b/>
          <w:lang w:val="uk-UA"/>
        </w:rPr>
      </w:pPr>
      <w:r w:rsidRPr="0028403B">
        <w:rPr>
          <w:b/>
          <w:lang w:val="uk-UA"/>
        </w:rPr>
        <w:t>Виконавчий комітет</w:t>
      </w:r>
    </w:p>
    <w:p w:rsidR="00931649" w:rsidRPr="0028403B" w:rsidRDefault="00931649" w:rsidP="0028403B">
      <w:pPr>
        <w:jc w:val="center"/>
        <w:rPr>
          <w:b/>
          <w:bCs/>
          <w:szCs w:val="28"/>
          <w:lang w:val="uk-UA"/>
        </w:rPr>
      </w:pPr>
    </w:p>
    <w:p w:rsidR="00931649" w:rsidRPr="0028403B" w:rsidRDefault="00931649" w:rsidP="0028403B">
      <w:pPr>
        <w:jc w:val="center"/>
        <w:rPr>
          <w:b/>
          <w:szCs w:val="28"/>
          <w:lang w:val="uk-UA"/>
        </w:rPr>
      </w:pPr>
      <w:r w:rsidRPr="0028403B">
        <w:rPr>
          <w:b/>
          <w:szCs w:val="28"/>
          <w:lang w:val="uk-UA"/>
        </w:rPr>
        <w:t>РІШЕННЯ</w:t>
      </w:r>
    </w:p>
    <w:p w:rsidR="00931649" w:rsidRPr="009B765E" w:rsidRDefault="00931649" w:rsidP="00931649">
      <w:pPr>
        <w:jc w:val="center"/>
        <w:rPr>
          <w:b/>
          <w:szCs w:val="28"/>
          <w:lang w:val="uk-UA"/>
        </w:rPr>
      </w:pPr>
    </w:p>
    <w:p w:rsidR="00931649" w:rsidRDefault="00E864D8" w:rsidP="00931649">
      <w:pPr>
        <w:rPr>
          <w:lang w:val="uk-UA"/>
        </w:rPr>
      </w:pPr>
      <w:r>
        <w:rPr>
          <w:lang w:val="uk-UA"/>
        </w:rPr>
        <w:t>від</w:t>
      </w:r>
      <w:r w:rsidR="002F4D38" w:rsidRPr="009B765E">
        <w:rPr>
          <w:lang w:val="uk-UA"/>
        </w:rPr>
        <w:t xml:space="preserve"> </w:t>
      </w:r>
      <w:r w:rsidR="009B765E">
        <w:rPr>
          <w:lang w:val="uk-UA"/>
        </w:rPr>
        <w:t>5</w:t>
      </w:r>
      <w:r w:rsidR="002F4D38" w:rsidRPr="009B765E">
        <w:rPr>
          <w:lang w:val="uk-UA"/>
        </w:rPr>
        <w:t xml:space="preserve"> </w:t>
      </w:r>
      <w:r w:rsidR="009B765E">
        <w:rPr>
          <w:lang w:val="uk-UA"/>
        </w:rPr>
        <w:t>січня</w:t>
      </w:r>
      <w:r w:rsidR="002F4D38" w:rsidRPr="009B765E">
        <w:rPr>
          <w:lang w:val="uk-UA"/>
        </w:rPr>
        <w:t xml:space="preserve">  20</w:t>
      </w:r>
      <w:r w:rsidR="009B765E">
        <w:rPr>
          <w:lang w:val="uk-UA"/>
        </w:rPr>
        <w:t>21</w:t>
      </w:r>
      <w:r w:rsidR="002F4D38" w:rsidRPr="009B765E">
        <w:rPr>
          <w:lang w:val="uk-UA"/>
        </w:rPr>
        <w:t xml:space="preserve"> року № </w:t>
      </w:r>
      <w:r w:rsidR="009B765E">
        <w:rPr>
          <w:lang w:val="uk-UA"/>
        </w:rPr>
        <w:t>12</w:t>
      </w:r>
      <w:r w:rsidR="00931649" w:rsidRPr="009B765E">
        <w:rPr>
          <w:lang w:val="uk-UA"/>
        </w:rPr>
        <w:t xml:space="preserve">              </w:t>
      </w:r>
      <w:r>
        <w:rPr>
          <w:lang w:val="uk-UA"/>
        </w:rPr>
        <w:t xml:space="preserve">          </w:t>
      </w:r>
      <w:r w:rsidR="0028403B">
        <w:rPr>
          <w:lang w:val="uk-UA"/>
        </w:rPr>
        <w:t xml:space="preserve">   </w:t>
      </w:r>
      <w:r>
        <w:rPr>
          <w:lang w:val="uk-UA"/>
        </w:rPr>
        <w:t xml:space="preserve">            </w:t>
      </w:r>
      <w:r w:rsidR="00931649" w:rsidRPr="009B765E">
        <w:rPr>
          <w:lang w:val="uk-UA"/>
        </w:rPr>
        <w:t xml:space="preserve">                          с.</w:t>
      </w:r>
      <w:r w:rsidR="008963B1">
        <w:rPr>
          <w:lang w:val="uk-UA"/>
        </w:rPr>
        <w:t xml:space="preserve"> </w:t>
      </w:r>
      <w:proofErr w:type="spellStart"/>
      <w:r w:rsidR="00931649" w:rsidRPr="009B765E">
        <w:rPr>
          <w:lang w:val="uk-UA"/>
        </w:rPr>
        <w:t>П’ядики</w:t>
      </w:r>
      <w:proofErr w:type="spellEnd"/>
    </w:p>
    <w:p w:rsidR="009B765E" w:rsidRPr="009B765E" w:rsidRDefault="009B765E" w:rsidP="00931649">
      <w:pPr>
        <w:rPr>
          <w:b/>
          <w:szCs w:val="28"/>
          <w:lang w:val="uk-UA"/>
        </w:rPr>
      </w:pPr>
    </w:p>
    <w:p w:rsidR="009B765E" w:rsidRPr="009B765E" w:rsidRDefault="009B765E" w:rsidP="009B765E">
      <w:pPr>
        <w:pStyle w:val="aa"/>
        <w:jc w:val="left"/>
        <w:rPr>
          <w:b/>
          <w:lang w:eastAsia="en-US"/>
        </w:rPr>
      </w:pPr>
      <w:r w:rsidRPr="009B765E">
        <w:rPr>
          <w:b/>
          <w:lang w:eastAsia="en-US"/>
        </w:rPr>
        <w:t>Про підсумки роботи із зверненнями громадян</w:t>
      </w:r>
    </w:p>
    <w:p w:rsidR="009B765E" w:rsidRPr="009B765E" w:rsidRDefault="009B765E" w:rsidP="009B765E">
      <w:pPr>
        <w:pStyle w:val="aa"/>
        <w:jc w:val="left"/>
        <w:rPr>
          <w:b/>
          <w:lang w:eastAsia="en-US"/>
        </w:rPr>
      </w:pPr>
      <w:r w:rsidRPr="009B765E">
        <w:rPr>
          <w:b/>
          <w:lang w:eastAsia="en-US"/>
        </w:rPr>
        <w:t xml:space="preserve">що надійшли до виконкому </w:t>
      </w:r>
      <w:proofErr w:type="spellStart"/>
      <w:r w:rsidRPr="009B765E">
        <w:rPr>
          <w:b/>
          <w:lang w:eastAsia="en-US"/>
        </w:rPr>
        <w:t>П’ядицької</w:t>
      </w:r>
      <w:proofErr w:type="spellEnd"/>
    </w:p>
    <w:p w:rsidR="009B765E" w:rsidRPr="009B765E" w:rsidRDefault="009B765E" w:rsidP="009B765E">
      <w:pPr>
        <w:pStyle w:val="aa"/>
        <w:jc w:val="left"/>
        <w:rPr>
          <w:b/>
          <w:lang w:eastAsia="en-US"/>
        </w:rPr>
      </w:pPr>
      <w:r w:rsidRPr="009B765E">
        <w:rPr>
          <w:b/>
          <w:lang w:eastAsia="en-US"/>
        </w:rPr>
        <w:t>сільської ради ОТГ за 2020 рік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</w:p>
    <w:p w:rsid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Керуючись п.1. «б» ст.38 Закону України «Про місцеве самоврядування в</w:t>
      </w:r>
      <w:r>
        <w:rPr>
          <w:lang w:eastAsia="en-US"/>
        </w:rPr>
        <w:t xml:space="preserve"> </w:t>
      </w:r>
      <w:r w:rsidRPr="009B765E">
        <w:rPr>
          <w:lang w:eastAsia="en-US"/>
        </w:rPr>
        <w:t>Україні», законом України «Про звернення громадян», Указом Президента</w:t>
      </w:r>
      <w:r>
        <w:rPr>
          <w:lang w:eastAsia="en-US"/>
        </w:rPr>
        <w:t xml:space="preserve"> </w:t>
      </w:r>
      <w:r w:rsidRPr="009B765E">
        <w:rPr>
          <w:lang w:eastAsia="en-US"/>
        </w:rPr>
        <w:t>України від.07.02.2008 р. № 109/2008 «Про першочергові заходи щодо</w:t>
      </w:r>
      <w:r>
        <w:rPr>
          <w:lang w:eastAsia="en-US"/>
        </w:rPr>
        <w:t xml:space="preserve"> </w:t>
      </w:r>
      <w:r w:rsidRPr="009B765E">
        <w:rPr>
          <w:lang w:eastAsia="en-US"/>
        </w:rPr>
        <w:t>забезпечення реалізації та гарантування конституційного права на звернення до</w:t>
      </w:r>
      <w:r>
        <w:rPr>
          <w:lang w:eastAsia="en-US"/>
        </w:rPr>
        <w:t xml:space="preserve"> </w:t>
      </w:r>
      <w:r w:rsidRPr="009B765E">
        <w:rPr>
          <w:lang w:eastAsia="en-US"/>
        </w:rPr>
        <w:t>органів державної влади та органів місцевого самоврядування», заслухавши та</w:t>
      </w:r>
      <w:r>
        <w:rPr>
          <w:lang w:eastAsia="en-US"/>
        </w:rPr>
        <w:t xml:space="preserve"> </w:t>
      </w:r>
      <w:r w:rsidRPr="009B765E">
        <w:rPr>
          <w:lang w:eastAsia="en-US"/>
        </w:rPr>
        <w:t>обговоривши інформацію начальника відділу загальної та організаційної роботи</w:t>
      </w:r>
      <w:r>
        <w:rPr>
          <w:lang w:eastAsia="en-US"/>
        </w:rPr>
        <w:t xml:space="preserve"> </w:t>
      </w:r>
      <w:r w:rsidRPr="009B765E">
        <w:rPr>
          <w:lang w:eastAsia="en-US"/>
        </w:rPr>
        <w:t>О.Данилишин про роботу із зверненнями громадян за 2020 рік, виконавчий комітет</w:t>
      </w:r>
      <w:r>
        <w:rPr>
          <w:lang w:eastAsia="en-US"/>
        </w:rPr>
        <w:t xml:space="preserve"> </w:t>
      </w:r>
      <w:proofErr w:type="spellStart"/>
      <w:r w:rsidR="0028403B">
        <w:rPr>
          <w:lang w:eastAsia="en-US"/>
        </w:rPr>
        <w:t>П’ядицької</w:t>
      </w:r>
      <w:proofErr w:type="spellEnd"/>
      <w:r w:rsidR="0028403B">
        <w:rPr>
          <w:lang w:eastAsia="en-US"/>
        </w:rPr>
        <w:t xml:space="preserve"> сільсь</w:t>
      </w:r>
      <w:r w:rsidRPr="009B765E">
        <w:rPr>
          <w:lang w:eastAsia="en-US"/>
        </w:rPr>
        <w:t>кої ради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</w:p>
    <w:p w:rsidR="009B765E" w:rsidRPr="009B765E" w:rsidRDefault="009B765E" w:rsidP="009B765E">
      <w:pPr>
        <w:pStyle w:val="aa"/>
        <w:ind w:firstLine="600"/>
        <w:rPr>
          <w:b/>
          <w:lang w:eastAsia="en-US"/>
        </w:rPr>
      </w:pPr>
      <w:r w:rsidRPr="009B765E">
        <w:rPr>
          <w:b/>
          <w:lang w:eastAsia="en-US"/>
        </w:rPr>
        <w:t>В И Р І Ш И В: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1. Інформацію про підсумки роботи із зверненнями громадян що надійшли до</w:t>
      </w:r>
      <w:r>
        <w:rPr>
          <w:lang w:eastAsia="en-US"/>
        </w:rPr>
        <w:t xml:space="preserve"> </w:t>
      </w:r>
      <w:r w:rsidRPr="009B765E">
        <w:rPr>
          <w:lang w:eastAsia="en-US"/>
        </w:rPr>
        <w:t xml:space="preserve">виконкому </w:t>
      </w:r>
      <w:proofErr w:type="spellStart"/>
      <w:r w:rsidRPr="009B765E">
        <w:rPr>
          <w:lang w:eastAsia="en-US"/>
        </w:rPr>
        <w:t>П’ядицької</w:t>
      </w:r>
      <w:proofErr w:type="spellEnd"/>
      <w:r w:rsidRPr="009B765E">
        <w:rPr>
          <w:lang w:eastAsia="en-US"/>
        </w:rPr>
        <w:t xml:space="preserve"> сільської ради ОТГ за 2020 рік взяти до уваги (додається).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2. Посадовим особам місцевого самоврядування посилити контроль за виконанням</w:t>
      </w:r>
      <w:r>
        <w:rPr>
          <w:lang w:eastAsia="en-US"/>
        </w:rPr>
        <w:t xml:space="preserve"> </w:t>
      </w:r>
      <w:r w:rsidRPr="009B765E">
        <w:rPr>
          <w:lang w:eastAsia="en-US"/>
        </w:rPr>
        <w:t>Закону України «Про звернення громадян», в тому числі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- не допускати надання неповних відповідей, порушення строків розгляду звернень</w:t>
      </w:r>
      <w:r>
        <w:rPr>
          <w:lang w:eastAsia="en-US"/>
        </w:rPr>
        <w:t xml:space="preserve"> </w:t>
      </w:r>
      <w:r w:rsidRPr="009B765E">
        <w:rPr>
          <w:lang w:eastAsia="en-US"/>
        </w:rPr>
        <w:t>громадян установлених законодавством;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- аналізувати та узагальнювати питання, що порушуються у зверненнях громадян,</w:t>
      </w:r>
      <w:r>
        <w:rPr>
          <w:lang w:eastAsia="en-US"/>
        </w:rPr>
        <w:t xml:space="preserve"> </w:t>
      </w:r>
      <w:r w:rsidRPr="009B765E">
        <w:rPr>
          <w:lang w:eastAsia="en-US"/>
        </w:rPr>
        <w:t>особливо у повторних, виявляти причини, що їх породжують, та за результатами</w:t>
      </w:r>
      <w:r>
        <w:rPr>
          <w:lang w:eastAsia="en-US"/>
        </w:rPr>
        <w:t xml:space="preserve"> </w:t>
      </w:r>
      <w:r w:rsidRPr="009B765E">
        <w:rPr>
          <w:lang w:eastAsia="en-US"/>
        </w:rPr>
        <w:t>такого аналізу вносити пропозиції щодо розв’язання найактуальніших проблем;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- забезпечувати застосування Класифікатора звернень громадян у діяльності,</w:t>
      </w:r>
      <w:r>
        <w:rPr>
          <w:lang w:eastAsia="en-US"/>
        </w:rPr>
        <w:t xml:space="preserve"> </w:t>
      </w:r>
      <w:r w:rsidRPr="009B765E">
        <w:rPr>
          <w:lang w:eastAsia="en-US"/>
        </w:rPr>
        <w:t>пов’язаній з розглядом звернень громадян, відповідно до їх характеристики.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3. Контроль за виконанням рішення покласти на керуючого справами виконавчого</w:t>
      </w:r>
      <w:r>
        <w:rPr>
          <w:lang w:eastAsia="en-US"/>
        </w:rPr>
        <w:t xml:space="preserve"> </w:t>
      </w:r>
      <w:r w:rsidRPr="009B765E">
        <w:rPr>
          <w:lang w:eastAsia="en-US"/>
        </w:rPr>
        <w:t>( секретаря) виконавчого комітету В.</w:t>
      </w:r>
      <w:r w:rsidR="0028403B">
        <w:rPr>
          <w:lang w:eastAsia="en-US"/>
        </w:rPr>
        <w:t xml:space="preserve"> </w:t>
      </w:r>
      <w:proofErr w:type="spellStart"/>
      <w:r w:rsidRPr="009B765E">
        <w:rPr>
          <w:lang w:eastAsia="en-US"/>
        </w:rPr>
        <w:t>Іванішина</w:t>
      </w:r>
      <w:proofErr w:type="spellEnd"/>
      <w:r w:rsidRPr="009B765E">
        <w:rPr>
          <w:lang w:eastAsia="en-US"/>
        </w:rPr>
        <w:t>.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</w:p>
    <w:p w:rsidR="009B765E" w:rsidRDefault="009B765E" w:rsidP="009B765E">
      <w:pPr>
        <w:pStyle w:val="aa"/>
        <w:ind w:firstLine="600"/>
        <w:jc w:val="both"/>
        <w:rPr>
          <w:b/>
          <w:lang w:eastAsia="en-US"/>
        </w:rPr>
      </w:pPr>
    </w:p>
    <w:p w:rsidR="009B765E" w:rsidRDefault="009B765E" w:rsidP="009B765E">
      <w:pPr>
        <w:pStyle w:val="aa"/>
        <w:ind w:firstLine="600"/>
        <w:jc w:val="both"/>
        <w:rPr>
          <w:b/>
          <w:lang w:eastAsia="en-US"/>
        </w:rPr>
      </w:pPr>
    </w:p>
    <w:p w:rsidR="00E864D8" w:rsidRDefault="00E864D8" w:rsidP="009B765E">
      <w:pPr>
        <w:pStyle w:val="aa"/>
        <w:ind w:firstLine="600"/>
        <w:jc w:val="both"/>
        <w:rPr>
          <w:b/>
          <w:lang w:eastAsia="en-US"/>
        </w:rPr>
      </w:pPr>
    </w:p>
    <w:p w:rsidR="00C504B9" w:rsidRDefault="009B765E" w:rsidP="009B765E">
      <w:pPr>
        <w:pStyle w:val="aa"/>
        <w:ind w:firstLine="600"/>
        <w:jc w:val="both"/>
        <w:rPr>
          <w:b/>
        </w:rPr>
      </w:pPr>
      <w:r w:rsidRPr="009B765E">
        <w:rPr>
          <w:b/>
          <w:lang w:eastAsia="en-US"/>
        </w:rPr>
        <w:t xml:space="preserve">Сільський голова </w:t>
      </w:r>
      <w:r w:rsidR="00E864D8">
        <w:rPr>
          <w:b/>
          <w:lang w:eastAsia="en-US"/>
        </w:rPr>
        <w:t xml:space="preserve">                                                          </w:t>
      </w:r>
      <w:r w:rsidRPr="009B765E">
        <w:rPr>
          <w:b/>
          <w:lang w:eastAsia="en-US"/>
        </w:rPr>
        <w:t xml:space="preserve"> </w:t>
      </w:r>
      <w:r w:rsidR="00E864D8">
        <w:rPr>
          <w:b/>
          <w:lang w:eastAsia="en-US"/>
        </w:rPr>
        <w:t>Петро</w:t>
      </w:r>
      <w:r w:rsidR="00E864D8" w:rsidRPr="009B765E">
        <w:rPr>
          <w:b/>
        </w:rPr>
        <w:t xml:space="preserve"> </w:t>
      </w:r>
      <w:proofErr w:type="spellStart"/>
      <w:r w:rsidRPr="009B765E">
        <w:rPr>
          <w:b/>
          <w:lang w:eastAsia="en-US"/>
        </w:rPr>
        <w:t>Гайдейчук</w:t>
      </w:r>
      <w:proofErr w:type="spellEnd"/>
      <w:r w:rsidRPr="009B765E">
        <w:rPr>
          <w:b/>
          <w:lang w:eastAsia="en-US"/>
        </w:rPr>
        <w:t xml:space="preserve"> </w:t>
      </w:r>
    </w:p>
    <w:p w:rsidR="00C504B9" w:rsidRPr="00862487" w:rsidRDefault="00C504B9" w:rsidP="00C504B9">
      <w:pPr>
        <w:pStyle w:val="Default"/>
        <w:ind w:left="7371"/>
        <w:rPr>
          <w:sz w:val="20"/>
          <w:szCs w:val="20"/>
        </w:rPr>
      </w:pPr>
      <w:r>
        <w:rPr>
          <w:b/>
        </w:rPr>
        <w:br w:type="page"/>
      </w:r>
      <w:r w:rsidRPr="00862487">
        <w:rPr>
          <w:sz w:val="20"/>
          <w:szCs w:val="20"/>
        </w:rPr>
        <w:lastRenderedPageBreak/>
        <w:t xml:space="preserve">Додаток </w:t>
      </w:r>
    </w:p>
    <w:p w:rsidR="00C504B9" w:rsidRPr="00862487" w:rsidRDefault="00C504B9" w:rsidP="00C504B9">
      <w:pPr>
        <w:pStyle w:val="Default"/>
        <w:ind w:left="7371"/>
        <w:rPr>
          <w:sz w:val="20"/>
          <w:szCs w:val="20"/>
        </w:rPr>
      </w:pPr>
      <w:r w:rsidRPr="00862487">
        <w:rPr>
          <w:sz w:val="20"/>
          <w:szCs w:val="20"/>
        </w:rPr>
        <w:t xml:space="preserve">до рішення </w:t>
      </w:r>
    </w:p>
    <w:p w:rsidR="00C504B9" w:rsidRPr="00862487" w:rsidRDefault="00C504B9" w:rsidP="00C504B9">
      <w:pPr>
        <w:pStyle w:val="Default"/>
        <w:ind w:left="7371"/>
        <w:rPr>
          <w:sz w:val="20"/>
          <w:szCs w:val="20"/>
        </w:rPr>
      </w:pPr>
      <w:bookmarkStart w:id="0" w:name="_GoBack"/>
      <w:bookmarkEnd w:id="0"/>
      <w:r w:rsidRPr="00862487">
        <w:rPr>
          <w:sz w:val="20"/>
          <w:szCs w:val="20"/>
        </w:rPr>
        <w:t>викон</w:t>
      </w:r>
      <w:r>
        <w:rPr>
          <w:sz w:val="20"/>
          <w:szCs w:val="20"/>
        </w:rPr>
        <w:t>авчого комітету</w:t>
      </w:r>
    </w:p>
    <w:p w:rsidR="00C504B9" w:rsidRPr="00862487" w:rsidRDefault="00C504B9" w:rsidP="00C504B9">
      <w:pPr>
        <w:pStyle w:val="Default"/>
        <w:ind w:left="7371"/>
        <w:rPr>
          <w:sz w:val="20"/>
          <w:szCs w:val="20"/>
        </w:rPr>
      </w:pPr>
      <w:r w:rsidRPr="00862487">
        <w:rPr>
          <w:sz w:val="20"/>
          <w:szCs w:val="20"/>
        </w:rPr>
        <w:t xml:space="preserve">від </w:t>
      </w:r>
      <w:r>
        <w:rPr>
          <w:sz w:val="20"/>
          <w:szCs w:val="20"/>
        </w:rPr>
        <w:t>05.01.2021</w:t>
      </w:r>
      <w:r w:rsidRPr="00862487">
        <w:rPr>
          <w:sz w:val="20"/>
          <w:szCs w:val="20"/>
        </w:rPr>
        <w:t>р.</w:t>
      </w:r>
      <w:r>
        <w:rPr>
          <w:sz w:val="20"/>
          <w:szCs w:val="20"/>
        </w:rPr>
        <w:t>№ 12</w:t>
      </w:r>
    </w:p>
    <w:p w:rsidR="00C504B9" w:rsidRDefault="00C504B9" w:rsidP="00C504B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Інформація про звернення громадян, що надійшли до виконкому</w:t>
      </w:r>
    </w:p>
    <w:p w:rsidR="00C504B9" w:rsidRDefault="00C504B9" w:rsidP="00C504B9">
      <w:pPr>
        <w:pStyle w:val="Defaul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П’ядицької</w:t>
      </w:r>
      <w:proofErr w:type="spellEnd"/>
      <w:r>
        <w:rPr>
          <w:b/>
          <w:bCs/>
          <w:sz w:val="28"/>
          <w:szCs w:val="28"/>
        </w:rPr>
        <w:t xml:space="preserve"> сільської ради ОТГ у 2020році</w:t>
      </w:r>
    </w:p>
    <w:p w:rsidR="00C504B9" w:rsidRPr="005474D5" w:rsidRDefault="00C504B9" w:rsidP="00C504B9">
      <w:pPr>
        <w:pStyle w:val="Default"/>
        <w:jc w:val="center"/>
        <w:rPr>
          <w:sz w:val="16"/>
          <w:szCs w:val="16"/>
        </w:rPr>
      </w:pP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Указу Президента України від 07.02.2008 року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виконавчим комітетом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протягом 2020 року </w:t>
      </w:r>
      <w:r w:rsidRPr="00862487">
        <w:rPr>
          <w:sz w:val="28"/>
          <w:szCs w:val="28"/>
        </w:rPr>
        <w:t>вживалися заходи для підвищення ефективності роботи із забезпечення всебічного розгляду звернень громадян та порушених у них проблем, оперативного їх вирішення.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У2020 році до виконкому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ОТГ надійшло 678 звернень громадян. З них - 44 звернень на особистому прийомі, письмових звернень – 634. Із усіх звернень вирішено позитивно –574, відмовлено у задоволенні - 14 звернення, на 38 письмових звернень заявникам дано обґрунтовані відповіді з роз’ясненнями щодо шляхів їх вирішення, на 44 усних звернень дано роз’яснення керівниками сільської ради ОТГ. За звітний період було зареєстровано 16 письмових колективних звернень, у яких було 194 підписи. У 2020році до сільської ради ОТГ поступило 2 повторних звернень. 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зверненнях порушувалися такі питання: аграрної політики і земельних відносин – 243 звернень,транспорту і зв’язку – 1 звернення, соціального захисту населення – 260 звернень, охорони здоров’я -1 звернення, комунального господарства – 33 звернення, житлової політики – 30 звернень, екології та природних ресурсів – 4 звернень, забезпечення дотримання законності та охорони правопорядку – 4 звернень, сімейної та гендерної політики, захисту прав дітей – 22 звернень, з інших питань – 79звернень. 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особливому контролі у виконкомі сільської ради перебуває питання звернень громадян пільгових категорій. </w:t>
      </w:r>
      <w:r w:rsidRPr="00DF1FDA">
        <w:rPr>
          <w:sz w:val="28"/>
          <w:szCs w:val="28"/>
        </w:rPr>
        <w:t xml:space="preserve">Такі звернення згідно з вимогами чинного законодавства розглядалися першочергово. </w:t>
      </w:r>
      <w:r>
        <w:rPr>
          <w:sz w:val="28"/>
          <w:szCs w:val="28"/>
        </w:rPr>
        <w:t xml:space="preserve">Так, протягом 2020 року поступили звернення: 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 учасників та осіб з інвалідністю війни, учасників бойових дій – 41 ; 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 осіб з інвалідністю І,ІІ,ІІІ групи – 92; 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 ветеранів праці – 51; 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 дітей війни - 36; 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 членів багатодітних сімей, одиноких матерів, матерів-героїнь – 11; </w:t>
      </w:r>
    </w:p>
    <w:p w:rsidR="00C504B9" w:rsidRPr="005474D5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 w:rsidRPr="00DF1FD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F1FDA">
        <w:rPr>
          <w:sz w:val="28"/>
          <w:szCs w:val="28"/>
        </w:rPr>
        <w:t>від учасників ліквідації наслідків аварії на ЧАЕС та осіб, що потерпіли від Ч</w:t>
      </w:r>
      <w:r>
        <w:rPr>
          <w:sz w:val="28"/>
          <w:szCs w:val="28"/>
        </w:rPr>
        <w:t>орнобильської катастрофи – 12.</w:t>
      </w:r>
    </w:p>
    <w:p w:rsidR="00C504B9" w:rsidRDefault="00C504B9" w:rsidP="00C504B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Виконавчим комітетом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Pr="005474D5">
        <w:rPr>
          <w:sz w:val="28"/>
          <w:szCs w:val="28"/>
        </w:rPr>
        <w:t xml:space="preserve"> і надалі буде здійснюватися робота із забезпечення всебічного розгляду звернень громадян, об’єктивної, неупередженої та вчасної перевірки фактів, викладених у зверненнях, а також посилення персональної відповідальності керівників виконавчих органів за вирішення питань, що порушуються у зверненнях мешканців </w:t>
      </w:r>
      <w:r>
        <w:rPr>
          <w:sz w:val="28"/>
          <w:szCs w:val="28"/>
        </w:rPr>
        <w:t>громади</w:t>
      </w:r>
      <w:r w:rsidRPr="005474D5">
        <w:rPr>
          <w:sz w:val="28"/>
          <w:szCs w:val="28"/>
        </w:rPr>
        <w:t>, особливо найменш соціально-захищених категорій громадян.</w:t>
      </w:r>
    </w:p>
    <w:p w:rsidR="00C504B9" w:rsidRDefault="00C504B9" w:rsidP="00C504B9">
      <w:pPr>
        <w:pStyle w:val="Default"/>
        <w:ind w:firstLine="708"/>
        <w:rPr>
          <w:sz w:val="28"/>
          <w:szCs w:val="28"/>
        </w:rPr>
      </w:pPr>
    </w:p>
    <w:p w:rsidR="00C504B9" w:rsidRPr="0028403B" w:rsidRDefault="00C504B9" w:rsidP="0028403B">
      <w:pPr>
        <w:pStyle w:val="Default"/>
        <w:rPr>
          <w:b/>
          <w:sz w:val="28"/>
          <w:szCs w:val="28"/>
        </w:rPr>
      </w:pPr>
      <w:r w:rsidRPr="0028403B">
        <w:rPr>
          <w:b/>
          <w:sz w:val="28"/>
          <w:szCs w:val="28"/>
        </w:rPr>
        <w:t>Керуючий справами(секретар)</w:t>
      </w:r>
    </w:p>
    <w:p w:rsidR="00931649" w:rsidRPr="0028403B" w:rsidRDefault="00C504B9" w:rsidP="0028403B">
      <w:pPr>
        <w:pStyle w:val="Default"/>
        <w:rPr>
          <w:b/>
        </w:rPr>
      </w:pPr>
      <w:r w:rsidRPr="0028403B">
        <w:rPr>
          <w:b/>
          <w:sz w:val="28"/>
          <w:szCs w:val="28"/>
        </w:rPr>
        <w:t xml:space="preserve">виконавчого комітету                                               </w:t>
      </w:r>
      <w:r w:rsidR="0028403B">
        <w:rPr>
          <w:b/>
          <w:sz w:val="28"/>
          <w:szCs w:val="28"/>
        </w:rPr>
        <w:t xml:space="preserve">             </w:t>
      </w:r>
      <w:r w:rsidRPr="0028403B">
        <w:rPr>
          <w:b/>
          <w:sz w:val="28"/>
          <w:szCs w:val="28"/>
        </w:rPr>
        <w:t xml:space="preserve">                  В.</w:t>
      </w:r>
      <w:proofErr w:type="spellStart"/>
      <w:r w:rsidRPr="0028403B">
        <w:rPr>
          <w:b/>
          <w:sz w:val="28"/>
          <w:szCs w:val="28"/>
        </w:rPr>
        <w:t>Іванішин</w:t>
      </w:r>
      <w:proofErr w:type="spellEnd"/>
    </w:p>
    <w:sectPr w:rsidR="00931649" w:rsidRPr="0028403B" w:rsidSect="00C504B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7A61226D"/>
    <w:multiLevelType w:val="hybridMultilevel"/>
    <w:tmpl w:val="CBE6F292"/>
    <w:lvl w:ilvl="0" w:tplc="DB1C7012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12C"/>
    <w:rsid w:val="000826C9"/>
    <w:rsid w:val="000D0FFB"/>
    <w:rsid w:val="000E46F9"/>
    <w:rsid w:val="001157B0"/>
    <w:rsid w:val="001B19AD"/>
    <w:rsid w:val="001E5D29"/>
    <w:rsid w:val="001F437C"/>
    <w:rsid w:val="0028403B"/>
    <w:rsid w:val="0028755D"/>
    <w:rsid w:val="002F4D38"/>
    <w:rsid w:val="003252F3"/>
    <w:rsid w:val="0032712C"/>
    <w:rsid w:val="00351177"/>
    <w:rsid w:val="00357FC7"/>
    <w:rsid w:val="003805E5"/>
    <w:rsid w:val="003961DA"/>
    <w:rsid w:val="003B5E7E"/>
    <w:rsid w:val="003D71E5"/>
    <w:rsid w:val="003E6677"/>
    <w:rsid w:val="004004FB"/>
    <w:rsid w:val="004858B7"/>
    <w:rsid w:val="004C5CFF"/>
    <w:rsid w:val="00524435"/>
    <w:rsid w:val="00537FE0"/>
    <w:rsid w:val="0054024B"/>
    <w:rsid w:val="0057204C"/>
    <w:rsid w:val="00574FB5"/>
    <w:rsid w:val="005A3344"/>
    <w:rsid w:val="005D788A"/>
    <w:rsid w:val="00603CAE"/>
    <w:rsid w:val="007362A4"/>
    <w:rsid w:val="00770F4D"/>
    <w:rsid w:val="00787325"/>
    <w:rsid w:val="008154AE"/>
    <w:rsid w:val="008545DA"/>
    <w:rsid w:val="00872E0A"/>
    <w:rsid w:val="00893312"/>
    <w:rsid w:val="008963B1"/>
    <w:rsid w:val="008A31DF"/>
    <w:rsid w:val="008D079F"/>
    <w:rsid w:val="00931649"/>
    <w:rsid w:val="00957D11"/>
    <w:rsid w:val="009B3955"/>
    <w:rsid w:val="009B765E"/>
    <w:rsid w:val="009E40D2"/>
    <w:rsid w:val="009E4397"/>
    <w:rsid w:val="00A7586D"/>
    <w:rsid w:val="00AA5127"/>
    <w:rsid w:val="00AA554B"/>
    <w:rsid w:val="00AE4064"/>
    <w:rsid w:val="00B13574"/>
    <w:rsid w:val="00B87926"/>
    <w:rsid w:val="00BA33F1"/>
    <w:rsid w:val="00BF2B39"/>
    <w:rsid w:val="00C504B9"/>
    <w:rsid w:val="00CB3510"/>
    <w:rsid w:val="00D120FC"/>
    <w:rsid w:val="00D61CC4"/>
    <w:rsid w:val="00D84A3B"/>
    <w:rsid w:val="00DA5872"/>
    <w:rsid w:val="00E84733"/>
    <w:rsid w:val="00E864D8"/>
    <w:rsid w:val="00F0747E"/>
    <w:rsid w:val="00F66937"/>
    <w:rsid w:val="00FD3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E43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E4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Placeholder Text"/>
    <w:basedOn w:val="a0"/>
    <w:uiPriority w:val="99"/>
    <w:semiHidden/>
    <w:rsid w:val="003E6677"/>
    <w:rPr>
      <w:color w:val="808080"/>
    </w:rPr>
  </w:style>
  <w:style w:type="paragraph" w:styleId="a9">
    <w:name w:val="No Spacing"/>
    <w:uiPriority w:val="1"/>
    <w:qFormat/>
    <w:rsid w:val="0089331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a">
    <w:name w:val="Title"/>
    <w:basedOn w:val="a"/>
    <w:link w:val="ab"/>
    <w:qFormat/>
    <w:rsid w:val="00931649"/>
    <w:pPr>
      <w:autoSpaceDE w:val="0"/>
      <w:autoSpaceDN w:val="0"/>
      <w:jc w:val="center"/>
    </w:pPr>
    <w:rPr>
      <w:rFonts w:eastAsia="Times New Roman"/>
      <w:szCs w:val="28"/>
      <w:lang w:val="uk-UA" w:eastAsia="ru-RU"/>
    </w:rPr>
  </w:style>
  <w:style w:type="character" w:customStyle="1" w:styleId="ab">
    <w:name w:val="Название Знак"/>
    <w:basedOn w:val="a0"/>
    <w:link w:val="aa"/>
    <w:rsid w:val="009316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c">
    <w:name w:val="Table Grid"/>
    <w:basedOn w:val="a1"/>
    <w:uiPriority w:val="59"/>
    <w:rsid w:val="004C5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50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Q</cp:lastModifiedBy>
  <cp:revision>2</cp:revision>
  <cp:lastPrinted>2019-07-19T11:54:00Z</cp:lastPrinted>
  <dcterms:created xsi:type="dcterms:W3CDTF">2021-01-12T06:15:00Z</dcterms:created>
  <dcterms:modified xsi:type="dcterms:W3CDTF">2021-01-12T06:15:00Z</dcterms:modified>
</cp:coreProperties>
</file>