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8CB" w:rsidRDefault="007D5B4D" w:rsidP="000028CB">
      <w:pPr>
        <w:tabs>
          <w:tab w:val="left" w:pos="3975"/>
        </w:tabs>
        <w:spacing w:after="0"/>
        <w:ind w:left="6372" w:firstLine="708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Додаток </w:t>
      </w:r>
      <w:r w:rsidR="00AC36DF">
        <w:rPr>
          <w:rFonts w:ascii="Times New Roman" w:hAnsi="Times New Roman"/>
          <w:b/>
          <w:sz w:val="26"/>
          <w:szCs w:val="26"/>
          <w:lang w:val="uk-UA"/>
        </w:rPr>
        <w:t>4</w:t>
      </w:r>
    </w:p>
    <w:p w:rsidR="000028CB" w:rsidRDefault="000028CB" w:rsidP="000028CB">
      <w:pPr>
        <w:spacing w:after="0"/>
        <w:ind w:left="4956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до рішення </w:t>
      </w:r>
      <w:r w:rsidR="00AC36DF">
        <w:rPr>
          <w:rFonts w:ascii="Times New Roman" w:hAnsi="Times New Roman"/>
          <w:b/>
          <w:sz w:val="26"/>
          <w:szCs w:val="26"/>
          <w:lang w:val="uk-UA"/>
        </w:rPr>
        <w:t>Міжгірської</w:t>
      </w:r>
      <w:r w:rsidR="007D5B4D">
        <w:rPr>
          <w:rFonts w:ascii="Times New Roman" w:hAnsi="Times New Roman"/>
          <w:b/>
          <w:sz w:val="26"/>
          <w:szCs w:val="26"/>
          <w:lang w:val="uk-UA"/>
        </w:rPr>
        <w:t xml:space="preserve"> с</w:t>
      </w:r>
      <w:r w:rsidR="00AC36DF">
        <w:rPr>
          <w:rFonts w:ascii="Times New Roman" w:hAnsi="Times New Roman"/>
          <w:b/>
          <w:sz w:val="26"/>
          <w:szCs w:val="26"/>
          <w:lang w:val="uk-UA"/>
        </w:rPr>
        <w:t>елищної</w:t>
      </w:r>
      <w:r w:rsidR="007D5B4D">
        <w:rPr>
          <w:rFonts w:ascii="Times New Roman" w:hAnsi="Times New Roman"/>
          <w:b/>
          <w:sz w:val="26"/>
          <w:szCs w:val="26"/>
          <w:lang w:val="uk-UA"/>
        </w:rPr>
        <w:t xml:space="preserve"> ради від</w:t>
      </w:r>
      <w:r w:rsidR="00EC2AEA" w:rsidRPr="00BB164A">
        <w:rPr>
          <w:rFonts w:ascii="Times New Roman" w:hAnsi="Times New Roman"/>
          <w:b/>
          <w:sz w:val="26"/>
          <w:szCs w:val="26"/>
          <w:lang w:val="uk-UA"/>
        </w:rPr>
        <w:t xml:space="preserve"> 14</w:t>
      </w:r>
      <w:r w:rsidR="007D5B4D">
        <w:rPr>
          <w:rFonts w:ascii="Times New Roman" w:hAnsi="Times New Roman"/>
          <w:b/>
          <w:sz w:val="26"/>
          <w:szCs w:val="26"/>
          <w:lang w:val="uk-UA"/>
        </w:rPr>
        <w:t>.0</w:t>
      </w:r>
      <w:r w:rsidR="00AC36DF">
        <w:rPr>
          <w:rFonts w:ascii="Times New Roman" w:hAnsi="Times New Roman"/>
          <w:b/>
          <w:sz w:val="26"/>
          <w:szCs w:val="26"/>
          <w:lang w:val="uk-UA"/>
        </w:rPr>
        <w:t>7</w:t>
      </w:r>
      <w:r w:rsidR="007D5B4D">
        <w:rPr>
          <w:rFonts w:ascii="Times New Roman" w:hAnsi="Times New Roman"/>
          <w:b/>
          <w:sz w:val="26"/>
          <w:szCs w:val="26"/>
          <w:lang w:val="uk-UA"/>
        </w:rPr>
        <w:t xml:space="preserve">.2021 року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№ </w:t>
      </w:r>
      <w:r w:rsidR="00BB164A">
        <w:rPr>
          <w:rFonts w:ascii="Times New Roman" w:hAnsi="Times New Roman"/>
          <w:b/>
          <w:sz w:val="26"/>
          <w:szCs w:val="26"/>
          <w:lang w:val="uk-UA"/>
        </w:rPr>
        <w:t>810</w:t>
      </w:r>
    </w:p>
    <w:p w:rsidR="000028CB" w:rsidRDefault="000028CB" w:rsidP="000028CB">
      <w:pPr>
        <w:spacing w:after="0"/>
        <w:ind w:left="4956"/>
        <w:rPr>
          <w:rFonts w:ascii="Times New Roman" w:hAnsi="Times New Roman"/>
          <w:b/>
          <w:sz w:val="26"/>
          <w:szCs w:val="26"/>
          <w:lang w:val="uk-UA"/>
        </w:rPr>
      </w:pPr>
    </w:p>
    <w:p w:rsidR="000028CB" w:rsidRDefault="000028CB" w:rsidP="000028CB">
      <w:pPr>
        <w:tabs>
          <w:tab w:val="left" w:pos="6555"/>
        </w:tabs>
        <w:spacing w:after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0028CB" w:rsidRDefault="000028CB" w:rsidP="000028CB">
      <w:pPr>
        <w:tabs>
          <w:tab w:val="left" w:pos="6555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ПОЛОЖЕННЯ</w:t>
      </w:r>
    </w:p>
    <w:p w:rsidR="000028CB" w:rsidRDefault="000028CB" w:rsidP="000028CB">
      <w:pPr>
        <w:tabs>
          <w:tab w:val="left" w:pos="6555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про порядок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обчислення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сплати</w:t>
      </w:r>
      <w:proofErr w:type="spellEnd"/>
      <w:r w:rsidR="00EC2AEA" w:rsidRPr="00EC2A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туристичного</w:t>
      </w:r>
      <w:proofErr w:type="spellEnd"/>
      <w:r w:rsidR="00EC2AEA" w:rsidRPr="00EC2A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збору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C36DF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Міжгірської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</w:t>
      </w:r>
      <w:proofErr w:type="spellStart"/>
      <w:r w:rsidR="00AC36DF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елищної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0" w:themeColor="text1"/>
          <w:sz w:val="28"/>
          <w:szCs w:val="28"/>
        </w:rPr>
        <w:t>ради</w:t>
      </w:r>
      <w:proofErr w:type="gramEnd"/>
    </w:p>
    <w:p w:rsidR="000028CB" w:rsidRDefault="000028CB" w:rsidP="000028CB">
      <w:pPr>
        <w:tabs>
          <w:tab w:val="left" w:pos="6555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1.Загальні положення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1.1.Положення про порядок обчислення та сплати туристичного збору (далі у тексті - Положення) визначає правові засади його справляння у відповідальності до Податкового кодексу України.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1.2.Туристичний збір – це місцевий збір, кошти від якого зараховуються до місцевого бюджету.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1.3.Терміни, наведені у цьому Положенні вживаються у значеннях, визначених у Податковому кодексі України.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1.4.Норми цього Положення є обов’язковими для дотримання фізичними та юридичними особами, які є платниками туристичного збору, та контролюючими органами.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2.Платники збору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2.1.Платниками збору є громадяни України, іноземці, а також особи без громадянства, які прибувають на територію</w:t>
      </w:r>
      <w:r w:rsidR="00AC36D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Міжгірської селищної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ради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та тимчасово розміщуються у місцях проживання (ночівлі), визначених підпунктом 5.1 пункту 5 цього додатку;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2.2.Платниками збору не можуть бути особи, які: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а) постійно проживають, у тому числі на умовах договорів найму, на території Синевирської сільської ради;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б) особи, які прибули у відрядження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або тимчасово розміщуються у місцях проживання (ночівлі), визначених підпунктом "б" підпункту 5.1 пункту 5 цього додатку, що належать фізичним особам на праві власності або на праві користування за договором найму"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в) інваліди, діти-інваліди та особи, що супроводжують інвалідів І групи або дітей-інвалідів (не більше одного супроводжуючого);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г) ветерани війни;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д) учасники ліквідації наслідків аварії на Чорнобильській АЕС;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е) діти віком до 18 років: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є) особи, які прибули за путівками (курсівками) на лікування, оздоровленн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центрального органу виконавчої влади, що реалізує державну політику у сфері охорони здоров’я*;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ж) дитячі лікувально-профілактичні, фізкультурно-оздоровчі та санаторно-курортні заклади*.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lastRenderedPageBreak/>
        <w:t>3.База справляння збору</w:t>
      </w:r>
    </w:p>
    <w:p w:rsidR="000028CB" w:rsidRDefault="000028CB" w:rsidP="000028C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3.1.Базою справляння є з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агальна кількість діб тимчасового розміщення у місцях проживання (ночівлі), визначених підпунктом 5.1 пункту 5 цього додатку;</w:t>
      </w:r>
    </w:p>
    <w:p w:rsidR="000028CB" w:rsidRPr="00AC36DF" w:rsidRDefault="000028CB" w:rsidP="000028CB">
      <w:pPr>
        <w:tabs>
          <w:tab w:val="left" w:pos="655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C36DF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4. Ставка збору</w:t>
      </w:r>
    </w:p>
    <w:p w:rsidR="000028CB" w:rsidRPr="00AC36DF" w:rsidRDefault="000028CB" w:rsidP="000028CB">
      <w:pPr>
        <w:tabs>
          <w:tab w:val="left" w:pos="655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C36DF">
        <w:rPr>
          <w:rFonts w:ascii="Times New Roman" w:hAnsi="Times New Roman"/>
          <w:color w:val="000000" w:themeColor="text1"/>
          <w:sz w:val="28"/>
          <w:szCs w:val="28"/>
          <w:lang w:val="uk-UA"/>
        </w:rPr>
        <w:t>4.1. Ставка встановлюється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за кожну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добу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тимчасового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розміщення особи у місцях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проживання (ночівлі), визначених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підпунктом 5.1 пункту 5 цього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додатку, у розмірі 0,5 відсотка - для внутрішнього туризму та 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відсотків - для в’їзного туризму від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розміру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мінімальної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заробітної плати, встановленої законом на 1 січня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звітного (податкового) року, для однієї особи за одну добу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тимчасового</w:t>
      </w:r>
      <w:r w:rsidR="00EC2AEA" w:rsidRP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розміщення.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5.Податкові агенти та місця проживання (ночівлі)</w:t>
      </w:r>
    </w:p>
    <w:p w:rsidR="000028CB" w:rsidRDefault="000028CB" w:rsidP="000028CB">
      <w:pPr>
        <w:tabs>
          <w:tab w:val="left" w:pos="655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5.1.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Справляння</w:t>
      </w:r>
      <w:proofErr w:type="spellEnd"/>
      <w:r w:rsidR="00EC2AEA" w:rsidRPr="00EC2A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туристичного</w:t>
      </w:r>
      <w:proofErr w:type="spellEnd"/>
      <w:r w:rsidR="00EC2AEA" w:rsidRPr="00EC2A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збору</w:t>
      </w:r>
      <w:proofErr w:type="spellEnd"/>
      <w:r w:rsidR="00EC2AEA" w:rsidRPr="00EC2A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здійснюється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тимчасового</w:t>
      </w:r>
      <w:proofErr w:type="spellEnd"/>
      <w:r w:rsidR="00EC2AEA" w:rsidRPr="00EC2A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розміщення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у таких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місцях</w:t>
      </w:r>
      <w:proofErr w:type="spellEnd"/>
      <w:r w:rsidR="00EC2AEA" w:rsidRPr="00EC2A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проживання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ночі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вл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і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):</w:t>
      </w:r>
    </w:p>
    <w:p w:rsidR="000028CB" w:rsidRDefault="000028CB" w:rsidP="000028CB">
      <w:pPr>
        <w:tabs>
          <w:tab w:val="left" w:pos="655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адміністрація</w:t>
      </w:r>
      <w:proofErr w:type="spellEnd"/>
      <w:r w:rsidR="00EC2AEA" w:rsidRPr="00EC2A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миготелів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кемпінгів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мотелів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гуртожиткі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приїжджих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іншими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закладами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готельного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типу,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санаторно-курортними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закладами;</w:t>
      </w:r>
    </w:p>
    <w:p w:rsidR="000028CB" w:rsidRDefault="000028CB" w:rsidP="000028CB">
      <w:pPr>
        <w:tabs>
          <w:tab w:val="left" w:pos="655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житловий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будинок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прибудова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до житлового</w:t>
      </w:r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будинку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квартира,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котедж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кімната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садовий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будинок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дачний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будинок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будь-які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іншіо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б’єкти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використовуються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тимчасового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проживання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ночі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вл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);</w:t>
      </w:r>
    </w:p>
    <w:p w:rsidR="000028CB" w:rsidRDefault="000028CB" w:rsidP="000028CB">
      <w:pPr>
        <w:tabs>
          <w:tab w:val="left" w:pos="655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5.2.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Справляння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збору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може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здійснюватись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такими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податковими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агентами:</w:t>
      </w:r>
    </w:p>
    <w:p w:rsidR="000028CB" w:rsidRDefault="000028CB" w:rsidP="000028C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а)</w:t>
      </w:r>
      <w:r>
        <w:rPr>
          <w:color w:val="000000" w:themeColor="text1"/>
          <w:sz w:val="28"/>
          <w:szCs w:val="28"/>
          <w:lang w:val="uk-UA"/>
        </w:rPr>
        <w:t xml:space="preserve"> юридичними особами, філіями, відділеннями, іншими відокремленими підрозділами юридичних осіб згідно з підпунктом 7.2 пункту 7 цього додатку, фізичними особами - підприємцями, які надають послуги з тимчасового розміщення осіб у місцях проживання (ночівлі), визначених підпунктом 5.1 цього додатку;</w:t>
      </w:r>
    </w:p>
    <w:p w:rsidR="000028CB" w:rsidRDefault="000028CB" w:rsidP="000028C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б) квартирно-посередницькими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"б" підпункту 5.1 пункту 5 цього додатку, що належать фізичним особам на праві власності або на праві користування за договором найму;</w:t>
      </w:r>
    </w:p>
    <w:p w:rsidR="000028CB" w:rsidRDefault="000028CB" w:rsidP="000028C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в) юридичними особами, які уповноважуються </w:t>
      </w:r>
      <w:r w:rsidR="00AC36DF">
        <w:rPr>
          <w:color w:val="000000" w:themeColor="text1"/>
          <w:sz w:val="28"/>
          <w:szCs w:val="28"/>
          <w:lang w:val="uk-UA"/>
        </w:rPr>
        <w:t>Міжгірською селищною</w:t>
      </w:r>
      <w:r>
        <w:rPr>
          <w:color w:val="000000" w:themeColor="text1"/>
          <w:sz w:val="28"/>
          <w:szCs w:val="28"/>
          <w:lang w:val="uk-UA"/>
        </w:rPr>
        <w:t xml:space="preserve"> радою, справляти збір на умовах договору, укладеного з радою.</w:t>
      </w:r>
    </w:p>
    <w:p w:rsidR="000028CB" w:rsidRDefault="000028CB" w:rsidP="000028CB">
      <w:pPr>
        <w:pStyle w:val="a3"/>
        <w:tabs>
          <w:tab w:val="left" w:pos="655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6.Особливості справляння збору</w:t>
      </w:r>
    </w:p>
    <w:p w:rsidR="000028CB" w:rsidRDefault="000028CB" w:rsidP="000028C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6.1. Платники збору сплачують суму збору авансовим внеском перед тимчасовим розміщенням у місцях проживання (ночівлі) податковим агентам, які справляють збір за ставками, у місцях справляння збору та з дотриманням інших вимог, визначених рішенням </w:t>
      </w:r>
      <w:r w:rsidR="00AC36DF">
        <w:rPr>
          <w:color w:val="000000" w:themeColor="text1"/>
          <w:sz w:val="28"/>
          <w:szCs w:val="28"/>
          <w:lang w:val="uk-UA"/>
        </w:rPr>
        <w:t xml:space="preserve">Міжгірської селищної </w:t>
      </w:r>
      <w:r>
        <w:rPr>
          <w:color w:val="000000" w:themeColor="text1"/>
          <w:sz w:val="28"/>
          <w:szCs w:val="28"/>
          <w:lang w:val="uk-UA"/>
        </w:rPr>
        <w:t>ради .</w:t>
      </w:r>
    </w:p>
    <w:p w:rsidR="000028CB" w:rsidRDefault="000028CB" w:rsidP="000028C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" w:name="n642"/>
      <w:bookmarkEnd w:id="1"/>
      <w:r>
        <w:rPr>
          <w:color w:val="000000" w:themeColor="text1"/>
          <w:sz w:val="28"/>
          <w:szCs w:val="28"/>
        </w:rPr>
        <w:t xml:space="preserve">За один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той </w:t>
      </w:r>
      <w:proofErr w:type="spellStart"/>
      <w:r>
        <w:rPr>
          <w:color w:val="000000" w:themeColor="text1"/>
          <w:sz w:val="28"/>
          <w:szCs w:val="28"/>
        </w:rPr>
        <w:t>самий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період</w:t>
      </w:r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перебування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платниказ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 xml:space="preserve">бору на </w:t>
      </w:r>
      <w:proofErr w:type="spellStart"/>
      <w:r>
        <w:rPr>
          <w:color w:val="000000" w:themeColor="text1"/>
          <w:sz w:val="28"/>
          <w:szCs w:val="28"/>
        </w:rPr>
        <w:t>території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однієї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адміністративно-територіальної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одиниці</w:t>
      </w:r>
      <w:proofErr w:type="spellEnd"/>
      <w:r>
        <w:rPr>
          <w:color w:val="000000" w:themeColor="text1"/>
          <w:sz w:val="28"/>
          <w:szCs w:val="28"/>
        </w:rPr>
        <w:t xml:space="preserve">, на </w:t>
      </w:r>
      <w:proofErr w:type="spellStart"/>
      <w:r>
        <w:rPr>
          <w:color w:val="000000" w:themeColor="text1"/>
          <w:sz w:val="28"/>
          <w:szCs w:val="28"/>
        </w:rPr>
        <w:t>якій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встановлено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туристичний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</w:t>
      </w:r>
      <w:proofErr w:type="gramStart"/>
      <w:r>
        <w:rPr>
          <w:color w:val="000000" w:themeColor="text1"/>
          <w:sz w:val="28"/>
          <w:szCs w:val="28"/>
        </w:rPr>
        <w:t>р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повторне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справляння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збору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вже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сплаченого</w:t>
      </w:r>
      <w:proofErr w:type="spellEnd"/>
      <w:r>
        <w:rPr>
          <w:color w:val="000000" w:themeColor="text1"/>
          <w:sz w:val="28"/>
          <w:szCs w:val="28"/>
        </w:rPr>
        <w:t xml:space="preserve"> таким </w:t>
      </w:r>
      <w:proofErr w:type="spellStart"/>
      <w:r>
        <w:rPr>
          <w:color w:val="000000" w:themeColor="text1"/>
          <w:sz w:val="28"/>
          <w:szCs w:val="28"/>
        </w:rPr>
        <w:t>платником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збору</w:t>
      </w:r>
      <w:proofErr w:type="spellEnd"/>
      <w:r>
        <w:rPr>
          <w:color w:val="000000" w:themeColor="text1"/>
          <w:sz w:val="28"/>
          <w:szCs w:val="28"/>
        </w:rPr>
        <w:t xml:space="preserve">, не </w:t>
      </w:r>
      <w:proofErr w:type="spellStart"/>
      <w:r>
        <w:rPr>
          <w:color w:val="000000" w:themeColor="text1"/>
          <w:sz w:val="28"/>
          <w:szCs w:val="28"/>
        </w:rPr>
        <w:t>допускається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0028CB" w:rsidRDefault="000028CB" w:rsidP="000028CB">
      <w:pPr>
        <w:tabs>
          <w:tab w:val="left" w:pos="655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6.2.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Особа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здійснює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тимчасове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розміщення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платника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збору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місцях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проживання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ночі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вл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),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належать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такій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особі на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праві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власності</w:t>
      </w:r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праві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користування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виключно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наявності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платника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збору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документа,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підтверджує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сплату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ним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туристичного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збору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відповідно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Податкового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Кодексу та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даного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Положення</w:t>
      </w:r>
    </w:p>
    <w:p w:rsidR="000028CB" w:rsidRDefault="000028CB" w:rsidP="000028CB">
      <w:pPr>
        <w:tabs>
          <w:tab w:val="left" w:pos="655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6.3.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разі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дострокового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залишення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особою, яка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сплатила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туристичний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збі</w:t>
      </w:r>
      <w:proofErr w:type="gramStart"/>
      <w:r w:rsid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</w:t>
      </w:r>
      <w:proofErr w:type="spellEnd"/>
      <w:proofErr w:type="gramEnd"/>
      <w:r w:rsid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території</w:t>
      </w:r>
      <w:proofErr w:type="spellEnd"/>
      <w:r w:rsidR="00EC2AE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Міжгірської селищно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ї ради, сума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надмірно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сплаченого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збору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підлягає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поверненню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такій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особі у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встановленому</w:t>
      </w:r>
      <w:proofErr w:type="spellEnd"/>
      <w:r w:rsidR="00AC36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Податковим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Кодексом порядку</w:t>
      </w:r>
    </w:p>
    <w:p w:rsidR="000028CB" w:rsidRDefault="000028CB" w:rsidP="000028CB">
      <w:pPr>
        <w:tabs>
          <w:tab w:val="left" w:pos="6555"/>
        </w:tabs>
        <w:spacing w:after="0" w:line="240" w:lineRule="auto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7. Порядок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сплатизбору</w:t>
      </w:r>
      <w:proofErr w:type="spellEnd"/>
    </w:p>
    <w:p w:rsidR="000028CB" w:rsidRDefault="000028CB" w:rsidP="000028C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7.1. </w:t>
      </w:r>
      <w:proofErr w:type="spellStart"/>
      <w:r>
        <w:rPr>
          <w:color w:val="000000" w:themeColor="text1"/>
          <w:sz w:val="28"/>
          <w:szCs w:val="28"/>
        </w:rPr>
        <w:t>Податкові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агенти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сплачують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збір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своїм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м</w:t>
      </w:r>
      <w:proofErr w:type="gramEnd"/>
      <w:r>
        <w:rPr>
          <w:color w:val="000000" w:themeColor="text1"/>
          <w:sz w:val="28"/>
          <w:szCs w:val="28"/>
        </w:rPr>
        <w:t>ісцезнаходженням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щоквартально</w:t>
      </w:r>
      <w:proofErr w:type="spellEnd"/>
      <w:r>
        <w:rPr>
          <w:color w:val="000000" w:themeColor="text1"/>
          <w:sz w:val="28"/>
          <w:szCs w:val="28"/>
        </w:rPr>
        <w:t xml:space="preserve">, у </w:t>
      </w:r>
      <w:proofErr w:type="spellStart"/>
      <w:r>
        <w:rPr>
          <w:color w:val="000000" w:themeColor="text1"/>
          <w:sz w:val="28"/>
          <w:szCs w:val="28"/>
        </w:rPr>
        <w:t>визначений</w:t>
      </w:r>
      <w:proofErr w:type="spellEnd"/>
      <w:r>
        <w:rPr>
          <w:color w:val="000000" w:themeColor="text1"/>
          <w:sz w:val="28"/>
          <w:szCs w:val="28"/>
        </w:rPr>
        <w:t xml:space="preserve"> для квартального </w:t>
      </w:r>
      <w:proofErr w:type="spellStart"/>
      <w:r>
        <w:rPr>
          <w:color w:val="000000" w:themeColor="text1"/>
          <w:sz w:val="28"/>
          <w:szCs w:val="28"/>
        </w:rPr>
        <w:t>звітного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податкового</w:t>
      </w:r>
      <w:proofErr w:type="spellEnd"/>
      <w:r>
        <w:rPr>
          <w:color w:val="000000" w:themeColor="text1"/>
          <w:sz w:val="28"/>
          <w:szCs w:val="28"/>
        </w:rPr>
        <w:t xml:space="preserve">) </w:t>
      </w:r>
      <w:proofErr w:type="spellStart"/>
      <w:r>
        <w:rPr>
          <w:color w:val="000000" w:themeColor="text1"/>
          <w:sz w:val="28"/>
          <w:szCs w:val="28"/>
        </w:rPr>
        <w:t>періоду</w:t>
      </w:r>
      <w:proofErr w:type="spellEnd"/>
      <w:r>
        <w:rPr>
          <w:color w:val="000000" w:themeColor="text1"/>
          <w:sz w:val="28"/>
          <w:szCs w:val="28"/>
        </w:rPr>
        <w:t xml:space="preserve"> строк та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податкової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декларації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звітний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податковий</w:t>
      </w:r>
      <w:proofErr w:type="spellEnd"/>
      <w:r>
        <w:rPr>
          <w:color w:val="000000" w:themeColor="text1"/>
          <w:sz w:val="28"/>
          <w:szCs w:val="28"/>
        </w:rPr>
        <w:t xml:space="preserve">) квартал, </w:t>
      </w:r>
      <w:proofErr w:type="spellStart"/>
      <w:r>
        <w:rPr>
          <w:color w:val="000000" w:themeColor="text1"/>
          <w:sz w:val="28"/>
          <w:szCs w:val="28"/>
        </w:rPr>
        <w:t>або</w:t>
      </w:r>
      <w:proofErr w:type="spellEnd"/>
      <w:r w:rsidR="00EC2AE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авансовими</w:t>
      </w:r>
      <w:proofErr w:type="spellEnd"/>
      <w:r w:rsidR="00EC2AE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внесками</w:t>
      </w:r>
      <w:proofErr w:type="spellEnd"/>
      <w:r>
        <w:rPr>
          <w:color w:val="000000" w:themeColor="text1"/>
          <w:sz w:val="28"/>
          <w:szCs w:val="28"/>
        </w:rPr>
        <w:t xml:space="preserve"> до 30 числа (</w:t>
      </w:r>
      <w:proofErr w:type="spellStart"/>
      <w:r>
        <w:rPr>
          <w:color w:val="000000" w:themeColor="text1"/>
          <w:sz w:val="28"/>
          <w:szCs w:val="28"/>
        </w:rPr>
        <w:t>включно</w:t>
      </w:r>
      <w:proofErr w:type="spellEnd"/>
      <w:r>
        <w:rPr>
          <w:color w:val="000000" w:themeColor="text1"/>
          <w:sz w:val="28"/>
          <w:szCs w:val="28"/>
        </w:rPr>
        <w:t xml:space="preserve">) кожного </w:t>
      </w:r>
      <w:proofErr w:type="spellStart"/>
      <w:r>
        <w:rPr>
          <w:color w:val="000000" w:themeColor="text1"/>
          <w:sz w:val="28"/>
          <w:szCs w:val="28"/>
        </w:rPr>
        <w:t>місяця</w:t>
      </w:r>
      <w:proofErr w:type="spellEnd"/>
      <w:r>
        <w:rPr>
          <w:color w:val="000000" w:themeColor="text1"/>
          <w:sz w:val="28"/>
          <w:szCs w:val="28"/>
        </w:rPr>
        <w:t xml:space="preserve"> (у лютому - до 28 (29) </w:t>
      </w:r>
      <w:proofErr w:type="spellStart"/>
      <w:r>
        <w:rPr>
          <w:color w:val="000000" w:themeColor="text1"/>
          <w:sz w:val="28"/>
          <w:szCs w:val="28"/>
        </w:rPr>
        <w:t>включно</w:t>
      </w:r>
      <w:proofErr w:type="spellEnd"/>
      <w:r>
        <w:rPr>
          <w:color w:val="000000" w:themeColor="text1"/>
          <w:sz w:val="28"/>
          <w:szCs w:val="28"/>
        </w:rPr>
        <w:t xml:space="preserve">) на </w:t>
      </w:r>
      <w:proofErr w:type="spellStart"/>
      <w:r>
        <w:rPr>
          <w:color w:val="000000" w:themeColor="text1"/>
          <w:sz w:val="28"/>
          <w:szCs w:val="28"/>
        </w:rPr>
        <w:t>підставі</w:t>
      </w:r>
      <w:proofErr w:type="spellEnd"/>
      <w:r w:rsidR="00EC2AEA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рішення</w:t>
      </w:r>
      <w:r w:rsidR="00EC2AEA">
        <w:rPr>
          <w:color w:val="000000" w:themeColor="text1"/>
          <w:sz w:val="28"/>
          <w:szCs w:val="28"/>
          <w:lang w:val="uk-UA"/>
        </w:rPr>
        <w:t xml:space="preserve"> Міжгірської </w:t>
      </w:r>
      <w:r>
        <w:rPr>
          <w:color w:val="000000" w:themeColor="text1"/>
          <w:sz w:val="28"/>
          <w:szCs w:val="28"/>
          <w:lang w:val="uk-UA"/>
        </w:rPr>
        <w:t xml:space="preserve"> с</w:t>
      </w:r>
      <w:r w:rsidR="00EC2AEA">
        <w:rPr>
          <w:color w:val="000000" w:themeColor="text1"/>
          <w:sz w:val="28"/>
          <w:szCs w:val="28"/>
          <w:lang w:val="uk-UA"/>
        </w:rPr>
        <w:t>елищної</w:t>
      </w:r>
      <w:r>
        <w:rPr>
          <w:color w:val="000000" w:themeColor="text1"/>
          <w:sz w:val="28"/>
          <w:szCs w:val="28"/>
          <w:lang w:val="uk-UA"/>
        </w:rPr>
        <w:t xml:space="preserve"> рад</w:t>
      </w:r>
      <w:r w:rsidR="00EC2AEA">
        <w:rPr>
          <w:color w:val="000000" w:themeColor="text1"/>
          <w:sz w:val="28"/>
          <w:szCs w:val="28"/>
          <w:lang w:val="uk-UA"/>
        </w:rPr>
        <w:t>и</w:t>
      </w:r>
      <w:r>
        <w:rPr>
          <w:color w:val="000000" w:themeColor="text1"/>
          <w:sz w:val="28"/>
          <w:szCs w:val="28"/>
        </w:rPr>
        <w:t>.</w:t>
      </w:r>
    </w:p>
    <w:p w:rsidR="000028CB" w:rsidRDefault="000028CB" w:rsidP="000028C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Податкові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агенти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сплачують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</w:t>
      </w:r>
      <w:proofErr w:type="gramStart"/>
      <w:r>
        <w:rPr>
          <w:color w:val="000000" w:themeColor="text1"/>
          <w:sz w:val="28"/>
          <w:szCs w:val="28"/>
        </w:rPr>
        <w:t>р</w:t>
      </w:r>
      <w:proofErr w:type="spellEnd"/>
      <w:proofErr w:type="gram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авансовими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внесками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відображають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податковій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декларації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звітний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податковий</w:t>
      </w:r>
      <w:proofErr w:type="spellEnd"/>
      <w:r>
        <w:rPr>
          <w:color w:val="000000" w:themeColor="text1"/>
          <w:sz w:val="28"/>
          <w:szCs w:val="28"/>
        </w:rPr>
        <w:t xml:space="preserve">) квартал </w:t>
      </w:r>
      <w:proofErr w:type="spellStart"/>
      <w:r>
        <w:rPr>
          <w:color w:val="000000" w:themeColor="text1"/>
          <w:sz w:val="28"/>
          <w:szCs w:val="28"/>
        </w:rPr>
        <w:t>суми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нарахованих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щомісячних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авансових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внесків</w:t>
      </w:r>
      <w:proofErr w:type="spellEnd"/>
      <w:r>
        <w:rPr>
          <w:color w:val="000000" w:themeColor="text1"/>
          <w:sz w:val="28"/>
          <w:szCs w:val="28"/>
        </w:rPr>
        <w:t xml:space="preserve">. При </w:t>
      </w:r>
      <w:proofErr w:type="spellStart"/>
      <w:r>
        <w:rPr>
          <w:color w:val="000000" w:themeColor="text1"/>
          <w:sz w:val="28"/>
          <w:szCs w:val="28"/>
        </w:rPr>
        <w:t>цьому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остаточна</w:t>
      </w:r>
      <w:proofErr w:type="spellEnd"/>
      <w:r>
        <w:rPr>
          <w:color w:val="000000" w:themeColor="text1"/>
          <w:sz w:val="28"/>
          <w:szCs w:val="28"/>
        </w:rPr>
        <w:t xml:space="preserve"> сума </w:t>
      </w:r>
      <w:proofErr w:type="spellStart"/>
      <w:r>
        <w:rPr>
          <w:color w:val="000000" w:themeColor="text1"/>
          <w:sz w:val="28"/>
          <w:szCs w:val="28"/>
        </w:rPr>
        <w:t>збору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обчислена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податкової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декларації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звітний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податковий</w:t>
      </w:r>
      <w:proofErr w:type="spellEnd"/>
      <w:r>
        <w:rPr>
          <w:color w:val="000000" w:themeColor="text1"/>
          <w:sz w:val="28"/>
          <w:szCs w:val="28"/>
        </w:rPr>
        <w:t>) квартал (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урахуванням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фактично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внесених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авансових</w:t>
      </w:r>
      <w:proofErr w:type="spellEnd"/>
      <w:r w:rsidR="00AC36D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платежів</w:t>
      </w:r>
      <w:proofErr w:type="spellEnd"/>
      <w:r>
        <w:rPr>
          <w:color w:val="000000" w:themeColor="text1"/>
          <w:sz w:val="28"/>
          <w:szCs w:val="28"/>
        </w:rPr>
        <w:t xml:space="preserve">), </w:t>
      </w:r>
      <w:proofErr w:type="spellStart"/>
      <w:r>
        <w:rPr>
          <w:color w:val="000000" w:themeColor="text1"/>
          <w:sz w:val="28"/>
          <w:szCs w:val="28"/>
        </w:rPr>
        <w:t>сплачується</w:t>
      </w:r>
      <w:proofErr w:type="spellEnd"/>
      <w:r>
        <w:rPr>
          <w:color w:val="000000" w:themeColor="text1"/>
          <w:sz w:val="28"/>
          <w:szCs w:val="28"/>
        </w:rPr>
        <w:t xml:space="preserve"> такими </w:t>
      </w:r>
      <w:proofErr w:type="spellStart"/>
      <w:r>
        <w:rPr>
          <w:color w:val="000000" w:themeColor="text1"/>
          <w:sz w:val="28"/>
          <w:szCs w:val="28"/>
        </w:rPr>
        <w:t>податковими</w:t>
      </w:r>
      <w:proofErr w:type="spellEnd"/>
      <w:r>
        <w:rPr>
          <w:color w:val="000000" w:themeColor="text1"/>
          <w:sz w:val="28"/>
          <w:szCs w:val="28"/>
        </w:rPr>
        <w:t xml:space="preserve"> агентами у строки, </w:t>
      </w:r>
      <w:proofErr w:type="spellStart"/>
      <w:r>
        <w:rPr>
          <w:color w:val="000000" w:themeColor="text1"/>
          <w:sz w:val="28"/>
          <w:szCs w:val="28"/>
        </w:rPr>
        <w:t>визначені</w:t>
      </w:r>
      <w:proofErr w:type="spellEnd"/>
      <w:r>
        <w:rPr>
          <w:color w:val="000000" w:themeColor="text1"/>
          <w:sz w:val="28"/>
          <w:szCs w:val="28"/>
        </w:rPr>
        <w:t xml:space="preserve"> для квартального </w:t>
      </w:r>
      <w:proofErr w:type="spellStart"/>
      <w:r>
        <w:rPr>
          <w:color w:val="000000" w:themeColor="text1"/>
          <w:sz w:val="28"/>
          <w:szCs w:val="28"/>
        </w:rPr>
        <w:t>звітного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податкового</w:t>
      </w:r>
      <w:proofErr w:type="spellEnd"/>
      <w:r>
        <w:rPr>
          <w:color w:val="000000" w:themeColor="text1"/>
          <w:sz w:val="28"/>
          <w:szCs w:val="28"/>
        </w:rPr>
        <w:t xml:space="preserve">) </w:t>
      </w:r>
      <w:proofErr w:type="spellStart"/>
      <w:r>
        <w:rPr>
          <w:color w:val="000000" w:themeColor="text1"/>
          <w:sz w:val="28"/>
          <w:szCs w:val="28"/>
        </w:rPr>
        <w:t>періоду</w:t>
      </w:r>
      <w:proofErr w:type="spellEnd"/>
      <w:r>
        <w:rPr>
          <w:color w:val="000000" w:themeColor="text1"/>
          <w:sz w:val="28"/>
          <w:szCs w:val="28"/>
        </w:rPr>
        <w:t>";</w:t>
      </w:r>
    </w:p>
    <w:p w:rsidR="000028CB" w:rsidRDefault="000028CB" w:rsidP="000028C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7.2 Податковий агент, який має підрозділ без статусу юридичної особи, що надає послуги з тимчасового розміщення у місцях проживання (ночівлі) не за місцем реєстрації такого податкового агента, зобов’язаний зареєструвати такий підрозділ як податкового агента туристичного збору у контролюючому органі за місцезнаходженням підрозділу.</w:t>
      </w:r>
    </w:p>
    <w:p w:rsidR="000028CB" w:rsidRDefault="000028CB" w:rsidP="000028C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7.3 Базовий податковий (звітний) період дорівнює календарному кварталу.</w:t>
      </w:r>
    </w:p>
    <w:p w:rsidR="000028CB" w:rsidRDefault="000028CB" w:rsidP="000028CB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0028CB" w:rsidRDefault="000028CB" w:rsidP="000028CB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0028CB" w:rsidRDefault="000028CB" w:rsidP="000028CB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0028CB" w:rsidRDefault="000028CB" w:rsidP="000028CB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0028CB" w:rsidRDefault="000028CB" w:rsidP="000028C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028CB" w:rsidRDefault="000028CB" w:rsidP="000028C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</w:t>
      </w:r>
      <w:r w:rsidR="00AC36DF">
        <w:rPr>
          <w:rFonts w:ascii="Times New Roman" w:hAnsi="Times New Roman"/>
          <w:b/>
          <w:sz w:val="28"/>
          <w:szCs w:val="28"/>
          <w:lang w:val="uk-UA"/>
        </w:rPr>
        <w:t>елищної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ради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="00AC36DF">
        <w:rPr>
          <w:rFonts w:ascii="Times New Roman" w:hAnsi="Times New Roman"/>
          <w:b/>
          <w:sz w:val="28"/>
          <w:szCs w:val="28"/>
          <w:lang w:val="uk-UA"/>
        </w:rPr>
        <w:t>Мирослава Пішта</w:t>
      </w:r>
    </w:p>
    <w:p w:rsidR="00EF6ABE" w:rsidRDefault="00EF6ABE"/>
    <w:sectPr w:rsidR="00EF6ABE" w:rsidSect="00ED0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32B3"/>
    <w:rsid w:val="000028CB"/>
    <w:rsid w:val="006F70CE"/>
    <w:rsid w:val="007D5B4D"/>
    <w:rsid w:val="008D7FF0"/>
    <w:rsid w:val="008E32B3"/>
    <w:rsid w:val="00AC36DF"/>
    <w:rsid w:val="00BB164A"/>
    <w:rsid w:val="00C05B43"/>
    <w:rsid w:val="00CA47AD"/>
    <w:rsid w:val="00EC2AEA"/>
    <w:rsid w:val="00ED0EA2"/>
    <w:rsid w:val="00EF6ABE"/>
    <w:rsid w:val="00F90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CB"/>
    <w:pPr>
      <w:ind w:left="720"/>
      <w:contextualSpacing/>
    </w:pPr>
  </w:style>
  <w:style w:type="paragraph" w:customStyle="1" w:styleId="rvps2">
    <w:name w:val="rvps2"/>
    <w:basedOn w:val="a"/>
    <w:uiPriority w:val="99"/>
    <w:rsid w:val="00002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5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5B4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4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4033</Words>
  <Characters>2299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Zastupnyk</cp:lastModifiedBy>
  <cp:revision>9</cp:revision>
  <cp:lastPrinted>2021-07-08T09:05:00Z</cp:lastPrinted>
  <dcterms:created xsi:type="dcterms:W3CDTF">2021-07-07T12:25:00Z</dcterms:created>
  <dcterms:modified xsi:type="dcterms:W3CDTF">2021-07-16T05:04:00Z</dcterms:modified>
</cp:coreProperties>
</file>