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3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638"/>
      </w:tblGrid>
      <w:tr w:rsidR="00CD6119" w:rsidRPr="002A4F2D" w:rsidTr="004F5000">
        <w:trPr>
          <w:tblCellSpacing w:w="30" w:type="dxa"/>
        </w:trPr>
        <w:tc>
          <w:tcPr>
            <w:tcW w:w="15518" w:type="dxa"/>
            <w:vAlign w:val="center"/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5205"/>
              <w:gridCol w:w="193"/>
            </w:tblGrid>
            <w:tr w:rsidR="00CD6119" w:rsidRPr="002A4F2D" w:rsidTr="004F5000">
              <w:trPr>
                <w:tblCellSpacing w:w="0" w:type="dxa"/>
              </w:trPr>
              <w:tc>
                <w:tcPr>
                  <w:tcW w:w="15205" w:type="dxa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05"/>
                  </w:tblGrid>
                  <w:tr w:rsidR="00CD6119" w:rsidRPr="002A4F2D" w:rsidTr="004F5000">
                    <w:trPr>
                      <w:tblCellSpacing w:w="0" w:type="dxa"/>
                    </w:trPr>
                    <w:tc>
                      <w:tcPr>
                        <w:tcW w:w="15205" w:type="dxa"/>
                        <w:vAlign w:val="center"/>
                        <w:hideMark/>
                      </w:tcPr>
                      <w:p w:rsidR="00CD6119" w:rsidRPr="002A4F2D" w:rsidRDefault="00074453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074453">
                          <w:rPr>
                            <w:rFonts w:ascii="Times New Roman" w:eastAsia="Arial Unicode MS" w:hAnsi="Times New Roman" w:cs="Times New Roman"/>
                            <w:sz w:val="96"/>
                            <w:szCs w:val="96"/>
                            <w:lang w:val="uk-UA"/>
                          </w:rPr>
                          <w:drawing>
                            <wp:inline distT="0" distB="0" distL="0" distR="0">
                              <wp:extent cx="10701020" cy="7776845"/>
                              <wp:effectExtent l="19050" t="0" r="5080" b="0"/>
                              <wp:docPr id="5" name="Рисунок 1" descr="C:\Documents and Settings\Admin\Рабочий стол\тендер\Изображение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Admin\Рабочий стол\тендер\Изображение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01020" cy="7776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E5CA1" w:rsidRPr="00557BBF" w:rsidRDefault="00074453" w:rsidP="00557BB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uk-UA" w:eastAsia="ru-RU"/>
                          </w:rPr>
                        </w:pPr>
                        <w:r w:rsidRPr="00074453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drawing>
                            <wp:inline distT="0" distB="0" distL="0" distR="0">
                              <wp:extent cx="10701020" cy="7776845"/>
                              <wp:effectExtent l="19050" t="0" r="5080" b="0"/>
                              <wp:docPr id="4" name="Рисунок 1" descr="C:\Documents and Settings\Admin\Рабочий стол\тендер\Изображение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Admin\Рабочий стол\тендер\Изображение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01020" cy="7776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CD6119" w:rsidRPr="002A4F2D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br w:type="textWrapping" w:clear="all"/>
                        </w:r>
                        <w:r w:rsidR="00AE0B28"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ru-RU"/>
                          </w:rPr>
                          <w:drawing>
                            <wp:inline distT="0" distB="0" distL="0" distR="0">
                              <wp:extent cx="10701020" cy="7776845"/>
                              <wp:effectExtent l="19050" t="0" r="5080" b="0"/>
                              <wp:docPr id="2" name="Рисунок 1" descr="C:\Documents and Settings\Admin\Рабочий стол\тендер\Изображение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C:\Documents and Settings\Admin\Рабочий стол\тендер\Изображение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701020" cy="777684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tbl>
                        <w:tblPr>
                          <w:tblW w:w="12963" w:type="dxa"/>
                          <w:jc w:val="center"/>
                          <w:tblCellSpacing w:w="1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963"/>
                        </w:tblGrid>
                        <w:tr w:rsidR="00CD6119" w:rsidRPr="002A4F2D" w:rsidTr="00557BBF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2903" w:type="dxa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557BBF" w:rsidP="00557BBF">
                              <w:p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5.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"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Виконання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результативних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показників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бюджетної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програми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за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напрямами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використання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бюджетних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коштів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"</w:t>
                              </w:r>
                              <w:proofErr w:type="gram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:(</w:t>
                              </w:r>
                              <w:proofErr w:type="gram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тис. </w:t>
                              </w:r>
                              <w:proofErr w:type="spellStart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грн</w:t>
                              </w:r>
                              <w:proofErr w:type="spellEnd"/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.) </w:t>
                              </w:r>
                            </w:p>
                          </w:tc>
                        </w:tr>
                      </w:tbl>
                      <w:p w:rsidR="00CD6119" w:rsidRPr="00557BBF" w:rsidRDefault="00CD6119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uk-UA" w:eastAsia="ru-RU"/>
                          </w:rPr>
                        </w:pPr>
                      </w:p>
                      <w:tbl>
                        <w:tblPr>
                          <w:tblW w:w="13326" w:type="dxa"/>
                          <w:jc w:val="center"/>
                          <w:tblCellSpacing w:w="15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38"/>
                          <w:gridCol w:w="4589"/>
                          <w:gridCol w:w="1007"/>
                          <w:gridCol w:w="799"/>
                          <w:gridCol w:w="876"/>
                          <w:gridCol w:w="923"/>
                          <w:gridCol w:w="1137"/>
                          <w:gridCol w:w="936"/>
                          <w:gridCol w:w="961"/>
                          <w:gridCol w:w="956"/>
                          <w:gridCol w:w="804"/>
                        </w:tblGrid>
                        <w:tr w:rsidR="007B429A" w:rsidRPr="002A4F2D" w:rsidTr="008C1D9E">
                          <w:trPr>
                            <w:trHeight w:val="1085"/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№ </w:t>
                              </w: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з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/</w:t>
                              </w:r>
                              <w:proofErr w:type="spellStart"/>
                              <w:proofErr w:type="gram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п</w:t>
                              </w:r>
                              <w:proofErr w:type="spellEnd"/>
                              <w:proofErr w:type="gram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59" w:type="dxa"/>
                              <w:vMerge w:val="restart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Показники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652" w:type="dxa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Затверджено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паспортом </w:t>
                              </w: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бюджетної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</w:t>
                              </w: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програми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966" w:type="dxa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Виконано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676" w:type="dxa"/>
                              <w:gridSpan w:val="3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Відхилення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59" w:type="dxa"/>
                              <w:vMerge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загальний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proofErr w:type="gram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спец</w:t>
                              </w:r>
                              <w:proofErr w:type="gram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іальний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разом 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загальний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proofErr w:type="gram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спец</w:t>
                              </w:r>
                              <w:proofErr w:type="gram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іальний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разом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загальний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proofErr w:type="spellStart"/>
                              <w:proofErr w:type="gramStart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спец</w:t>
                              </w:r>
                              <w:proofErr w:type="gram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іальний</w:t>
                              </w:r>
                              <w:proofErr w:type="spellEnd"/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 xml:space="preserve"> фонд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разом </w:t>
                              </w:r>
                            </w:p>
                          </w:tc>
                        </w:tr>
                        <w:tr w:rsidR="00CD6119" w:rsidRPr="008C1D9E" w:rsidTr="00305241">
                          <w:trPr>
                            <w:trHeight w:val="671"/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F091D" w:rsidRDefault="008C1D9E" w:rsidP="00305241">
                              <w:p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 xml:space="preserve"> Підтримка та розвиток культурно-освітніх заходів, забезпечення своєчасного та якісного технічного нагляду за будівництвом та капітальним ремонтом, складання і надання кошторисної, звітної, фінансової документації, фінансування установ 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1. 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A12393" w:rsidRDefault="00A12393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  <w:lang w:val="uk-UA" w:eastAsia="ru-RU"/>
                                </w:rPr>
                                <w:t>З</w:t>
                              </w:r>
                              <w:proofErr w:type="spellStart"/>
                              <w:r w:rsidR="00CD6119" w:rsidRPr="00A1239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атрат</w:t>
                              </w:r>
                              <w:proofErr w:type="spellEnd"/>
                              <w:r w:rsidR="00CD6119" w:rsidRPr="00A12393"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8C1D9E" w:rsidRDefault="008C1D9E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Кількість централізованих бухгалтерій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D268A8" w:rsidRDefault="00CD6119" w:rsidP="008C1D9E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D268A8" w:rsidRDefault="00CD6119" w:rsidP="008C1D9E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1,00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D268A8" w:rsidRDefault="008C1D9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8C1D9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8C1D9E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  <w:r w:rsidR="00FB511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</w:t>
                              </w:r>
                              <w:r w:rsidR="00CC624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</w:t>
                              </w:r>
                              <w:r w:rsidR="00D268A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00</w:t>
                              </w: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CD6119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2A4F2D" w:rsidRDefault="00FB511D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</w:t>
                              </w:r>
                              <w:r w:rsidR="00D268A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</w:t>
                              </w:r>
                              <w:r w:rsidR="00D268A8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en-US" w:eastAsia="ru-RU"/>
                                </w:rPr>
                                <w:t>00</w:t>
                              </w:r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CD6119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8C1D9E" w:rsidRDefault="00D268A8" w:rsidP="008C1D9E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</w:t>
                              </w:r>
                              <w:r w:rsidR="00187B7B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ими</w:t>
                              </w:r>
                              <w:proofErr w:type="spellEnd"/>
                              <w:r w:rsidR="00187B7B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187B7B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 w:rsidR="00187B7B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:</w:t>
                              </w:r>
                              <w:r w:rsidR="00187B7B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перехід</w:t>
                              </w:r>
                              <w:r w:rsidR="008C1D9E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</w:t>
                              </w:r>
                              <w:proofErr w:type="gramStart"/>
                              <w:r w:rsidR="008C1D9E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 w:rsidR="008C1D9E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D268A8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hideMark/>
                            </w:tcPr>
                            <w:p w:rsidR="00D268A8" w:rsidRPr="008C1D9E" w:rsidRDefault="00D268A8" w:rsidP="00CC2019">
                              <w:pP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proofErr w:type="spellStart"/>
                              <w:r w:rsidRPr="007B429A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Середнє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 чи</w:t>
                              </w:r>
                              <w:r w:rsidR="008C1D9E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сло </w:t>
                              </w:r>
                              <w:r w:rsidR="008C1D9E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штатних одиниць спеціалі</w:t>
                              </w:r>
                              <w:proofErr w:type="gramStart"/>
                              <w:r w:rsidR="008C1D9E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ст</w:t>
                              </w:r>
                              <w:proofErr w:type="gramEnd"/>
                              <w:r w:rsidR="008C1D9E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ів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8C1D9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D268A8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D268A8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8C1D9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D268A8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8C1D9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D268A8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D268A8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CC6240" w:rsidRDefault="00D268A8" w:rsidP="008C1D9E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CC6240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FB511D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  <w:r w:rsidR="00CC624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,50</w:t>
                              </w:r>
                              <w:r w:rsidR="00D268A8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D268A8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2A4F2D" w:rsidRDefault="00FB511D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8C1D9E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  <w:r w:rsidR="00CC624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,50</w:t>
                              </w:r>
                              <w:r w:rsidR="00D268A8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C60F3F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D268A8" w:rsidRPr="007B429A" w:rsidRDefault="00187B7B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: перехід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</w:tr>
                        <w:tr w:rsidR="00187B7B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BB1B6E" w:rsidRDefault="00187B7B" w:rsidP="00BB1B6E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hideMark/>
                            </w:tcPr>
                            <w:p w:rsidR="00187B7B" w:rsidRPr="00187B7B" w:rsidRDefault="00187B7B" w:rsidP="00CC2019">
                              <w:pP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Всього-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 xml:space="preserve"> с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ере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дньорічне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 xml:space="preserve"> число ставок(штатних одиниць)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2,50</w:t>
                              </w: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2,50</w:t>
                              </w: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CC6240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FB511D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2,50</w:t>
                              </w:r>
                              <w:r w:rsidR="00187B7B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187B7B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187B7B" w:rsidRPr="002A4F2D" w:rsidRDefault="00FB511D" w:rsidP="00FB511D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2,50</w:t>
                              </w:r>
                              <w:r w:rsidR="00187B7B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C60F3F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7B429A" w:rsidRDefault="00187B7B" w:rsidP="00BB1B6E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00000"/>
                                  <w:sz w:val="20"/>
                                  <w:szCs w:val="20"/>
                                  <w:lang w:val="uk-UA" w:eastAsia="ru-RU"/>
                                </w:rPr>
                                <w:t xml:space="preserve">         </w:t>
                              </w:r>
                              <w:r w:rsidR="007B429A"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00000"/>
                                  <w:sz w:val="20"/>
                                  <w:szCs w:val="20"/>
                                  <w:lang w:val="uk-UA" w:eastAsia="ru-RU"/>
                                </w:rPr>
                                <w:t xml:space="preserve"> </w:t>
                              </w: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ими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перехід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1D3B60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</w:pPr>
                              <w:r w:rsidRPr="001D3B60"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val="uk-UA"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187B7B" w:rsidRDefault="00187B7B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Продукту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BB1B6E" w:rsidRDefault="00BB1B6E" w:rsidP="00187B7B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BB1B6E" w:rsidRDefault="00BB1B6E" w:rsidP="00187B7B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187B7B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7B429A" w:rsidRDefault="00187B7B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Кількість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заході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в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 xml:space="preserve">, 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як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і обслуговує централізована бухгалтерія</w:t>
                              </w:r>
                              <w:r w:rsidR="007B429A" w:rsidRPr="007B429A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7B429A" w:rsidRDefault="00BB1B6E" w:rsidP="00187B7B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42,0</w:t>
                              </w:r>
                              <w:r w:rsidR="007B429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7B429A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 w:rsidR="00187B7B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  <w:r w:rsidR="00187B7B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42,00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187B7B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</w:t>
                              </w:r>
                              <w:r w:rsidR="007B429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0,00</w:t>
                              </w:r>
                              <w:r w:rsidR="00BB1B6E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187B7B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</w:t>
                              </w:r>
                              <w:r w:rsidR="007B429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0,00</w:t>
                              </w:r>
                              <w:r w:rsidR="00BB1B6E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-3</w:t>
                              </w:r>
                              <w:r w:rsidR="001D3B6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  <w:r w:rsidR="00BB1B6E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BB1B6E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BB1B6E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-3</w:t>
                              </w:r>
                              <w:r w:rsidR="001D3B6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  <w:r w:rsidR="00BB1B6E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 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2477" w:type="dxa"/>
                              <w:gridSpan w:val="10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1D3B60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i/>
                                  <w:color w:val="000000"/>
                                  <w:sz w:val="20"/>
                                  <w:szCs w:val="20"/>
                                  <w:lang w:val="uk-UA" w:eastAsia="ru-RU"/>
                                </w:rPr>
                                <w:t xml:space="preserve">         </w:t>
                              </w: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ими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перехід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nil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</w:tcPr>
                            <w:p w:rsidR="007B429A" w:rsidRPr="001D3B60" w:rsidRDefault="007B429A" w:rsidP="001D3B60">
                              <w:pP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proofErr w:type="spellStart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Кількість</w:t>
                              </w:r>
                              <w:proofErr w:type="spellEnd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1D3B60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особових рахунків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10,0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10,00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10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300244" w:rsidP="001D3B6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</w:t>
                              </w:r>
                              <w:r w:rsidR="001D3B6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10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7A6AA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1D3B60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proofErr w:type="gram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результативни</w:t>
                              </w:r>
                              <w:r w:rsidR="00C60F3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ми</w:t>
                              </w:r>
                              <w:proofErr w:type="spellEnd"/>
                              <w:r w:rsidR="00C60F3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="00C60F3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 w:rsidR="00C60F3F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1D3B60" w:rsidRDefault="00300244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proofErr w:type="spellStart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Кількість</w:t>
                              </w:r>
                              <w:proofErr w:type="spellEnd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1D3B60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складених звітів працівниками бухгалтерії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58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58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14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14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300244" w:rsidP="001D3B60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</w:t>
                              </w:r>
                              <w:r w:rsidR="001D3B60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44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-44</w:t>
                              </w:r>
                              <w:r w:rsidR="00300244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,00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7A6AA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ими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перехід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1D3B60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1D3B60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Ефективності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300244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1D3B60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1D3B60" w:rsidRDefault="007B429A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</w:tr>
                        <w:tr w:rsidR="00300244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7A6AA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1D3B60" w:rsidRDefault="00300244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</w:tr>
                        <w:tr w:rsidR="007B429A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1D3B60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proofErr w:type="spellStart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>Кількість</w:t>
                              </w:r>
                              <w:proofErr w:type="spellEnd"/>
                              <w:r w:rsidRPr="002C6643"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особових рахункі</w:t>
                              </w:r>
                              <w:proofErr w:type="gramStart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в</w:t>
                              </w:r>
                              <w:proofErr w:type="gramEnd"/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, які обслуговує 1 працівник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4,00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4,00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4,00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C6643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Pr="002A4F2D" w:rsidRDefault="007B429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7B429A" w:rsidRDefault="001D3B60" w:rsidP="001D3B60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0,00</w:t>
                              </w:r>
                            </w:p>
                          </w:tc>
                        </w:tr>
                        <w:tr w:rsidR="002C6643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7A6AA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2C6643" w:rsidRPr="003B290A" w:rsidRDefault="002C6643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proofErr w:type="gram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</w:p>
                          </w:tc>
                        </w:tr>
                        <w:tr w:rsidR="00300244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5B4C05" w:rsidRDefault="005B4C05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A12393" w:rsidRDefault="001D3B60" w:rsidP="00CD6119">
                              <w:pPr>
                                <w:spacing w:before="100" w:beforeAutospacing="1" w:after="100" w:afterAutospacing="1" w:line="240" w:lineRule="auto"/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napToGrid w:val="0"/>
                                  <w:sz w:val="18"/>
                                  <w:szCs w:val="18"/>
                                  <w:lang w:val="uk-UA"/>
                                </w:rPr>
                                <w:t>Кількість установ, які обслуговує 1 працівник</w:t>
                              </w:r>
                            </w:p>
                          </w:tc>
                          <w:tc>
                            <w:tcPr>
                              <w:tcW w:w="97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3B290A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16,80</w:t>
                              </w:r>
                            </w:p>
                          </w:tc>
                          <w:tc>
                            <w:tcPr>
                              <w:tcW w:w="76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2A4F2D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84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3B290A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16,80</w:t>
                              </w:r>
                            </w:p>
                          </w:tc>
                          <w:tc>
                            <w:tcPr>
                              <w:tcW w:w="893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4,20</w:t>
                              </w:r>
                            </w:p>
                          </w:tc>
                          <w:tc>
                            <w:tcPr>
                              <w:tcW w:w="1107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2A4F2D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0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4,20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-12,60</w:t>
                              </w:r>
                            </w:p>
                          </w:tc>
                          <w:tc>
                            <w:tcPr>
                              <w:tcW w:w="926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Pr="002A4F2D" w:rsidRDefault="00300244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759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00244" w:rsidRDefault="003B290A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-12,60</w:t>
                              </w:r>
                            </w:p>
                          </w:tc>
                        </w:tr>
                        <w:tr w:rsidR="003D0D51" w:rsidRPr="002A4F2D" w:rsidTr="00E01E2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13266" w:type="dxa"/>
                              <w:gridSpan w:val="11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7A6AA"/>
                              </w:tcBorders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</w:tcPr>
                            <w:p w:rsidR="003D0D51" w:rsidRPr="005B4C05" w:rsidRDefault="005B4C05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</w:pPr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Причина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розбіжності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між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затвердженими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 та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досягнутими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результативними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>показниками</w:t>
                              </w:r>
                              <w:proofErr w:type="spellEnd"/>
                              <w:r w:rsidRPr="007B429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</w:rPr>
                                <w:t xml:space="preserve">: </w:t>
                              </w:r>
                              <w:r w:rsidR="003B290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перехід </w:t>
                              </w:r>
                              <w:proofErr w:type="gramStart"/>
                              <w:r w:rsidR="003B290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>до</w:t>
                              </w:r>
                              <w:proofErr w:type="gramEnd"/>
                              <w:r w:rsidR="003B290A">
                                <w:rPr>
                                  <w:rFonts w:ascii="Times New Roman" w:hAnsi="Times New Roman" w:cs="Times New Roman"/>
                                  <w:i/>
                                  <w:iCs/>
                                  <w:color w:val="000000"/>
                                  <w:sz w:val="20"/>
                                  <w:szCs w:val="20"/>
                                  <w:lang w:val="uk-UA"/>
                                </w:rPr>
                                <w:t xml:space="preserve"> централізованої бухгалтерії</w:t>
                              </w:r>
                            </w:p>
                          </w:tc>
                        </w:tr>
                      </w:tbl>
                      <w:p w:rsidR="00557BBF" w:rsidRDefault="00557BBF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 w:eastAsia="ru-RU"/>
                          </w:rPr>
                        </w:pPr>
                      </w:p>
                      <w:p w:rsidR="00557BBF" w:rsidRDefault="00557BBF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 w:eastAsia="ru-RU"/>
                          </w:rPr>
                        </w:pPr>
                      </w:p>
                      <w:p w:rsidR="00557BBF" w:rsidRDefault="00557BBF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 w:eastAsia="ru-RU"/>
                          </w:rPr>
                        </w:pPr>
                      </w:p>
                      <w:p w:rsidR="00CD6119" w:rsidRPr="00FE5CA1" w:rsidRDefault="007B429A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uk-UA"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 w:eastAsia="ru-RU"/>
                          </w:rPr>
                          <w:t xml:space="preserve">                        </w:t>
                        </w:r>
                        <w:r w:rsidR="00CD6119" w:rsidRPr="002A4F2D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  <w:br w:type="textWrapping" w:clear="all"/>
                        </w:r>
                      </w:p>
                      <w:p w:rsidR="00CD6119" w:rsidRPr="00654211" w:rsidRDefault="00CD6119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uk-UA" w:eastAsia="ru-RU"/>
                          </w:rPr>
                        </w:pPr>
                      </w:p>
                      <w:tbl>
                        <w:tblPr>
                          <w:tblW w:w="10500" w:type="dxa"/>
                          <w:jc w:val="center"/>
                          <w:tblCellSpacing w:w="1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5250"/>
                          <w:gridCol w:w="5250"/>
                        </w:tblGrid>
                        <w:tr w:rsidR="00CD6119" w:rsidRPr="00FE5CA1" w:rsidTr="004F5000">
                          <w:trPr>
                            <w:tblCellSpacing w:w="15" w:type="dxa"/>
                            <w:jc w:val="center"/>
                          </w:trPr>
                          <w:tc>
                            <w:tcPr>
                              <w:tcW w:w="25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654211" w:rsidRDefault="00FE5CA1" w:rsidP="00CD6119">
                              <w:pPr>
                                <w:spacing w:before="100" w:beforeAutospacing="1" w:after="100" w:afterAutospacing="1" w:line="240" w:lineRule="auto"/>
                                <w:jc w:val="both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Секретар селищної ради</w:t>
                              </w:r>
                            </w:p>
                          </w:tc>
                          <w:tc>
                            <w:tcPr>
                              <w:tcW w:w="2500" w:type="pct"/>
                              <w:tc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cMar>
                              <w:vAlign w:val="center"/>
                              <w:hideMark/>
                            </w:tcPr>
                            <w:p w:rsidR="00CD6119" w:rsidRPr="00654211" w:rsidRDefault="00FE5CA1" w:rsidP="00CD6119">
                              <w:pPr>
                                <w:spacing w:before="100" w:beforeAutospacing="1" w:after="100" w:afterAutospacing="1" w:line="24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val="uk-UA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 xml:space="preserve">                              </w:t>
                              </w:r>
                              <w:r w:rsidR="00CD6119" w:rsidRPr="0065421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________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_________________</w:t>
                              </w:r>
                              <w:r w:rsidR="00CD6119" w:rsidRPr="00654211"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_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 xml:space="preserve">   А.А.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t>Волошенко</w:t>
                              </w:r>
                              <w:proofErr w:type="spellEnd"/>
                              <w:r w:rsidR="00CD6119" w:rsidRPr="00654211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val="uk-UA" w:eastAsia="ru-RU"/>
                                </w:rPr>
                                <w:br/>
                                <w:t>(підпис)</w:t>
                              </w:r>
                              <w:r w:rsidR="00CD6119" w:rsidRPr="002A4F2D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18"/>
                                  <w:szCs w:val="18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CD6119" w:rsidRPr="00654211" w:rsidRDefault="00CD6119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uk-UA" w:eastAsia="ru-RU"/>
                          </w:rPr>
                        </w:pPr>
                        <w:r w:rsidRPr="00654211"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val="uk-UA" w:eastAsia="ru-RU"/>
                          </w:rPr>
                          <w:br w:type="textWrapping" w:clear="all"/>
                        </w:r>
                      </w:p>
                      <w:p w:rsidR="00CD6119" w:rsidRPr="002A4F2D" w:rsidRDefault="00CD6119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CD6119" w:rsidRPr="002A4F2D" w:rsidTr="004F5000">
                    <w:trPr>
                      <w:tblCellSpacing w:w="0" w:type="dxa"/>
                    </w:trPr>
                    <w:tc>
                      <w:tcPr>
                        <w:tcW w:w="15205" w:type="dxa"/>
                        <w:vAlign w:val="center"/>
                        <w:hideMark/>
                      </w:tcPr>
                      <w:p w:rsidR="00CD6119" w:rsidRPr="002A4F2D" w:rsidRDefault="00CD6119" w:rsidP="00CD611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CD6119" w:rsidRPr="002A4F2D" w:rsidRDefault="00CD6119" w:rsidP="00CD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3" w:type="dxa"/>
                  <w:vAlign w:val="center"/>
                  <w:hideMark/>
                </w:tcPr>
                <w:p w:rsidR="00CD6119" w:rsidRPr="002A4F2D" w:rsidRDefault="00CD6119" w:rsidP="00CD61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A4F2D"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9695" cy="8890"/>
                        <wp:effectExtent l="0" t="0" r="0" b="0"/>
                        <wp:docPr id="1" name="Рисунок 1" descr="http://195.78.68.18/minfin/img/1x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195.78.68.18/minfin/img/1x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695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D6119" w:rsidRPr="002A4F2D" w:rsidRDefault="00CD6119" w:rsidP="00CD6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8E2" w:rsidRPr="003F733E" w:rsidRDefault="00CD6119" w:rsidP="003F733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</w:tabs>
        <w:autoSpaceDE w:val="0"/>
        <w:autoSpaceDN w:val="0"/>
        <w:adjustRightInd w:val="0"/>
        <w:rPr>
          <w:i/>
          <w:iCs/>
          <w:color w:val="000000"/>
          <w:sz w:val="15"/>
          <w:szCs w:val="15"/>
          <w:lang w:val="uk-UA"/>
        </w:rPr>
      </w:pPr>
      <w:r w:rsidRPr="002A4F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AE0B2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777730" cy="7105854"/>
            <wp:effectExtent l="19050" t="0" r="0" b="0"/>
            <wp:docPr id="3" name="Рисунок 2" descr="C:\Documents and Settings\Admin\Рабочий стол\тендер\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\Рабочий стол\тендер\Изображение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10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68E2" w:rsidRPr="003F733E" w:rsidSect="00074453">
      <w:pgSz w:w="16838" w:h="11906" w:orient="landscape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D3DA5"/>
    <w:multiLevelType w:val="multilevel"/>
    <w:tmpl w:val="49A83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2510D"/>
    <w:rsid w:val="0000212E"/>
    <w:rsid w:val="000046EF"/>
    <w:rsid w:val="000103A9"/>
    <w:rsid w:val="00024F2D"/>
    <w:rsid w:val="00036E48"/>
    <w:rsid w:val="000377E5"/>
    <w:rsid w:val="00057F39"/>
    <w:rsid w:val="00066875"/>
    <w:rsid w:val="00074453"/>
    <w:rsid w:val="00094303"/>
    <w:rsid w:val="00096F3C"/>
    <w:rsid w:val="000B6540"/>
    <w:rsid w:val="000C17A1"/>
    <w:rsid w:val="000D01C4"/>
    <w:rsid w:val="000D20F7"/>
    <w:rsid w:val="000D24F8"/>
    <w:rsid w:val="000D445C"/>
    <w:rsid w:val="000E1BFC"/>
    <w:rsid w:val="00114123"/>
    <w:rsid w:val="0011447E"/>
    <w:rsid w:val="00123BD3"/>
    <w:rsid w:val="00131B2A"/>
    <w:rsid w:val="00132430"/>
    <w:rsid w:val="00154514"/>
    <w:rsid w:val="0015607D"/>
    <w:rsid w:val="0018195E"/>
    <w:rsid w:val="00187B7B"/>
    <w:rsid w:val="0019707C"/>
    <w:rsid w:val="001A3ECB"/>
    <w:rsid w:val="001A75EA"/>
    <w:rsid w:val="001B5CE1"/>
    <w:rsid w:val="001D3B60"/>
    <w:rsid w:val="001D4E59"/>
    <w:rsid w:val="001E20B4"/>
    <w:rsid w:val="00222292"/>
    <w:rsid w:val="0022301F"/>
    <w:rsid w:val="00231A3E"/>
    <w:rsid w:val="00295698"/>
    <w:rsid w:val="002A4F2D"/>
    <w:rsid w:val="002A69AA"/>
    <w:rsid w:val="002C6643"/>
    <w:rsid w:val="002F091D"/>
    <w:rsid w:val="00300244"/>
    <w:rsid w:val="00302A96"/>
    <w:rsid w:val="00305241"/>
    <w:rsid w:val="00317401"/>
    <w:rsid w:val="00327266"/>
    <w:rsid w:val="00332305"/>
    <w:rsid w:val="0033231D"/>
    <w:rsid w:val="00340486"/>
    <w:rsid w:val="003518EF"/>
    <w:rsid w:val="00363311"/>
    <w:rsid w:val="0037312F"/>
    <w:rsid w:val="00373690"/>
    <w:rsid w:val="00381B2C"/>
    <w:rsid w:val="003A23D7"/>
    <w:rsid w:val="003B290A"/>
    <w:rsid w:val="003C44EA"/>
    <w:rsid w:val="003C49A8"/>
    <w:rsid w:val="003D0D51"/>
    <w:rsid w:val="003E0AA6"/>
    <w:rsid w:val="003F230D"/>
    <w:rsid w:val="003F68E2"/>
    <w:rsid w:val="003F733E"/>
    <w:rsid w:val="003F76DA"/>
    <w:rsid w:val="00402084"/>
    <w:rsid w:val="0042510D"/>
    <w:rsid w:val="00427E14"/>
    <w:rsid w:val="00437816"/>
    <w:rsid w:val="00443919"/>
    <w:rsid w:val="00450FAF"/>
    <w:rsid w:val="00451B60"/>
    <w:rsid w:val="00454B34"/>
    <w:rsid w:val="00470B85"/>
    <w:rsid w:val="00471798"/>
    <w:rsid w:val="00483EB4"/>
    <w:rsid w:val="004851D2"/>
    <w:rsid w:val="00495D1F"/>
    <w:rsid w:val="004B39A4"/>
    <w:rsid w:val="004C32B8"/>
    <w:rsid w:val="004C3478"/>
    <w:rsid w:val="004C6D6C"/>
    <w:rsid w:val="004E0F5C"/>
    <w:rsid w:val="004E13FB"/>
    <w:rsid w:val="004E309A"/>
    <w:rsid w:val="004E4563"/>
    <w:rsid w:val="004F4090"/>
    <w:rsid w:val="004F5000"/>
    <w:rsid w:val="0050483C"/>
    <w:rsid w:val="005049B1"/>
    <w:rsid w:val="0050666C"/>
    <w:rsid w:val="0050732D"/>
    <w:rsid w:val="00522496"/>
    <w:rsid w:val="0052287E"/>
    <w:rsid w:val="00530102"/>
    <w:rsid w:val="00537B5F"/>
    <w:rsid w:val="00537CEB"/>
    <w:rsid w:val="00542C79"/>
    <w:rsid w:val="00557BBF"/>
    <w:rsid w:val="00582F35"/>
    <w:rsid w:val="00584A55"/>
    <w:rsid w:val="00592A0B"/>
    <w:rsid w:val="005B4C05"/>
    <w:rsid w:val="005B73E0"/>
    <w:rsid w:val="005C0F51"/>
    <w:rsid w:val="005C7BC8"/>
    <w:rsid w:val="005E7B64"/>
    <w:rsid w:val="005F2525"/>
    <w:rsid w:val="005F3F84"/>
    <w:rsid w:val="005F55D2"/>
    <w:rsid w:val="00602736"/>
    <w:rsid w:val="00605F4C"/>
    <w:rsid w:val="00610BF2"/>
    <w:rsid w:val="0064240D"/>
    <w:rsid w:val="00644E96"/>
    <w:rsid w:val="00654211"/>
    <w:rsid w:val="0066506E"/>
    <w:rsid w:val="00665918"/>
    <w:rsid w:val="00666C99"/>
    <w:rsid w:val="006A525A"/>
    <w:rsid w:val="006B0FDB"/>
    <w:rsid w:val="006C3924"/>
    <w:rsid w:val="006E3660"/>
    <w:rsid w:val="00715FCB"/>
    <w:rsid w:val="00727A51"/>
    <w:rsid w:val="00741483"/>
    <w:rsid w:val="00761530"/>
    <w:rsid w:val="00771F96"/>
    <w:rsid w:val="0077788A"/>
    <w:rsid w:val="007A5873"/>
    <w:rsid w:val="007B429A"/>
    <w:rsid w:val="007C7FBD"/>
    <w:rsid w:val="007E309D"/>
    <w:rsid w:val="007F1995"/>
    <w:rsid w:val="007F204B"/>
    <w:rsid w:val="007F4ADC"/>
    <w:rsid w:val="00820828"/>
    <w:rsid w:val="00827768"/>
    <w:rsid w:val="0083012A"/>
    <w:rsid w:val="00842E72"/>
    <w:rsid w:val="0085192C"/>
    <w:rsid w:val="00860D20"/>
    <w:rsid w:val="008642E5"/>
    <w:rsid w:val="008763BB"/>
    <w:rsid w:val="00881660"/>
    <w:rsid w:val="008A1A7A"/>
    <w:rsid w:val="008A3054"/>
    <w:rsid w:val="008C1D9E"/>
    <w:rsid w:val="008D26EA"/>
    <w:rsid w:val="008D68D6"/>
    <w:rsid w:val="008D77B1"/>
    <w:rsid w:val="008E1106"/>
    <w:rsid w:val="008E5C7A"/>
    <w:rsid w:val="008E6382"/>
    <w:rsid w:val="008F1077"/>
    <w:rsid w:val="008F7B39"/>
    <w:rsid w:val="00902BC6"/>
    <w:rsid w:val="0090556F"/>
    <w:rsid w:val="0090697E"/>
    <w:rsid w:val="009304B8"/>
    <w:rsid w:val="00945B4C"/>
    <w:rsid w:val="00953BDA"/>
    <w:rsid w:val="009745BE"/>
    <w:rsid w:val="00982E6D"/>
    <w:rsid w:val="009901F6"/>
    <w:rsid w:val="009A252A"/>
    <w:rsid w:val="009A25C2"/>
    <w:rsid w:val="009A41D8"/>
    <w:rsid w:val="009B2D69"/>
    <w:rsid w:val="009B4400"/>
    <w:rsid w:val="009B45C3"/>
    <w:rsid w:val="009B7240"/>
    <w:rsid w:val="009D684E"/>
    <w:rsid w:val="009F075D"/>
    <w:rsid w:val="00A02CDE"/>
    <w:rsid w:val="00A12393"/>
    <w:rsid w:val="00A23A74"/>
    <w:rsid w:val="00A43F7B"/>
    <w:rsid w:val="00A45A3D"/>
    <w:rsid w:val="00A57ED0"/>
    <w:rsid w:val="00A60126"/>
    <w:rsid w:val="00A74F2E"/>
    <w:rsid w:val="00AA4258"/>
    <w:rsid w:val="00AA4A78"/>
    <w:rsid w:val="00AB1095"/>
    <w:rsid w:val="00AD4772"/>
    <w:rsid w:val="00AD56A7"/>
    <w:rsid w:val="00AE0B28"/>
    <w:rsid w:val="00AF3107"/>
    <w:rsid w:val="00B1476B"/>
    <w:rsid w:val="00B14F5D"/>
    <w:rsid w:val="00B304A8"/>
    <w:rsid w:val="00B31147"/>
    <w:rsid w:val="00B438D9"/>
    <w:rsid w:val="00B55A93"/>
    <w:rsid w:val="00B6448D"/>
    <w:rsid w:val="00B716E2"/>
    <w:rsid w:val="00B92B98"/>
    <w:rsid w:val="00BB1B6E"/>
    <w:rsid w:val="00BB4A98"/>
    <w:rsid w:val="00BC0A67"/>
    <w:rsid w:val="00BC3D99"/>
    <w:rsid w:val="00BC6622"/>
    <w:rsid w:val="00BD7AD3"/>
    <w:rsid w:val="00BF2C55"/>
    <w:rsid w:val="00C03A82"/>
    <w:rsid w:val="00C24A26"/>
    <w:rsid w:val="00C34F5A"/>
    <w:rsid w:val="00C4095B"/>
    <w:rsid w:val="00C45761"/>
    <w:rsid w:val="00C60F3F"/>
    <w:rsid w:val="00C81854"/>
    <w:rsid w:val="00C854D6"/>
    <w:rsid w:val="00C87531"/>
    <w:rsid w:val="00C929DF"/>
    <w:rsid w:val="00C94382"/>
    <w:rsid w:val="00CB292D"/>
    <w:rsid w:val="00CC2019"/>
    <w:rsid w:val="00CC4F63"/>
    <w:rsid w:val="00CC6240"/>
    <w:rsid w:val="00CD3838"/>
    <w:rsid w:val="00CD6119"/>
    <w:rsid w:val="00CE26B8"/>
    <w:rsid w:val="00CE4B1A"/>
    <w:rsid w:val="00CF1DE9"/>
    <w:rsid w:val="00CF3352"/>
    <w:rsid w:val="00D145C6"/>
    <w:rsid w:val="00D2545E"/>
    <w:rsid w:val="00D268A8"/>
    <w:rsid w:val="00D324EB"/>
    <w:rsid w:val="00D331D7"/>
    <w:rsid w:val="00D43CD2"/>
    <w:rsid w:val="00D442E4"/>
    <w:rsid w:val="00D4492A"/>
    <w:rsid w:val="00D539D0"/>
    <w:rsid w:val="00D616FB"/>
    <w:rsid w:val="00D66D09"/>
    <w:rsid w:val="00D73DE0"/>
    <w:rsid w:val="00D83A98"/>
    <w:rsid w:val="00DB5D98"/>
    <w:rsid w:val="00DB7938"/>
    <w:rsid w:val="00DC22CA"/>
    <w:rsid w:val="00DC5304"/>
    <w:rsid w:val="00DD1AE3"/>
    <w:rsid w:val="00DD67DE"/>
    <w:rsid w:val="00E005B1"/>
    <w:rsid w:val="00E01E20"/>
    <w:rsid w:val="00E037D2"/>
    <w:rsid w:val="00E10EE0"/>
    <w:rsid w:val="00E223CF"/>
    <w:rsid w:val="00E3009B"/>
    <w:rsid w:val="00E4536D"/>
    <w:rsid w:val="00E51806"/>
    <w:rsid w:val="00E72D87"/>
    <w:rsid w:val="00E77C7A"/>
    <w:rsid w:val="00E813D3"/>
    <w:rsid w:val="00E83167"/>
    <w:rsid w:val="00E914D1"/>
    <w:rsid w:val="00EB123F"/>
    <w:rsid w:val="00EB1BB1"/>
    <w:rsid w:val="00EB2153"/>
    <w:rsid w:val="00EE50B1"/>
    <w:rsid w:val="00EF3E6F"/>
    <w:rsid w:val="00F4517B"/>
    <w:rsid w:val="00F50BD7"/>
    <w:rsid w:val="00F510FA"/>
    <w:rsid w:val="00F559D6"/>
    <w:rsid w:val="00F6052D"/>
    <w:rsid w:val="00F67597"/>
    <w:rsid w:val="00F801D7"/>
    <w:rsid w:val="00F95A38"/>
    <w:rsid w:val="00FA1319"/>
    <w:rsid w:val="00FA37CB"/>
    <w:rsid w:val="00FB511D"/>
    <w:rsid w:val="00FC3A4C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31D"/>
  </w:style>
  <w:style w:type="paragraph" w:styleId="3">
    <w:name w:val="heading 3"/>
    <w:basedOn w:val="a"/>
    <w:link w:val="30"/>
    <w:uiPriority w:val="9"/>
    <w:qFormat/>
    <w:rsid w:val="00CD61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7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68E2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A43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3F7B"/>
  </w:style>
  <w:style w:type="character" w:styleId="a6">
    <w:name w:val="Hyperlink"/>
    <w:basedOn w:val="a0"/>
    <w:uiPriority w:val="99"/>
    <w:semiHidden/>
    <w:unhideWhenUsed/>
    <w:rsid w:val="00A43F7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CD61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7">
    <w:name w:val="Normal (Web)"/>
    <w:basedOn w:val="a"/>
    <w:uiPriority w:val="99"/>
    <w:unhideWhenUsed/>
    <w:rsid w:val="00CD6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D6119"/>
  </w:style>
  <w:style w:type="character" w:styleId="a8">
    <w:name w:val="FollowedHyperlink"/>
    <w:basedOn w:val="a0"/>
    <w:uiPriority w:val="99"/>
    <w:semiHidden/>
    <w:unhideWhenUsed/>
    <w:rsid w:val="00CD61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F1AE-6CEC-42A8-B47B-83E0E4F4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2018-02-15T09:38:00Z</cp:lastPrinted>
  <dcterms:created xsi:type="dcterms:W3CDTF">2018-02-15T13:09:00Z</dcterms:created>
  <dcterms:modified xsi:type="dcterms:W3CDTF">2018-02-15T13:14:00Z</dcterms:modified>
</cp:coreProperties>
</file>