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D6" w:rsidRPr="006B4427" w:rsidRDefault="00A67ED6" w:rsidP="00A67ED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6B442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BD15232" wp14:editId="784B0F7E">
            <wp:extent cx="733425" cy="91969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77" cy="92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ПРОЕКТ</w:t>
      </w:r>
    </w:p>
    <w:p w:rsidR="00A67ED6" w:rsidRPr="002A7100" w:rsidRDefault="00A67ED6" w:rsidP="00A67E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Україна</w:t>
      </w:r>
    </w:p>
    <w:p w:rsidR="00A67ED6" w:rsidRPr="002A7100" w:rsidRDefault="00A67ED6" w:rsidP="00A67E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Pr="002A7100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2A7100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A67ED6" w:rsidRPr="002A7100" w:rsidRDefault="00A67ED6" w:rsidP="00A67E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A67ED6" w:rsidRPr="002A7100" w:rsidRDefault="00A67ED6" w:rsidP="00A67ED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A7100">
        <w:rPr>
          <w:rFonts w:ascii="Times New Roman" w:hAnsi="Times New Roman"/>
          <w:b/>
          <w:sz w:val="28"/>
          <w:szCs w:val="28"/>
        </w:rPr>
        <w:t>Житомирсмької</w:t>
      </w:r>
      <w:proofErr w:type="spellEnd"/>
      <w:r w:rsidRPr="002A7100">
        <w:rPr>
          <w:rFonts w:ascii="Times New Roman" w:hAnsi="Times New Roman"/>
          <w:b/>
          <w:sz w:val="28"/>
          <w:szCs w:val="28"/>
        </w:rPr>
        <w:t xml:space="preserve"> області          </w:t>
      </w:r>
    </w:p>
    <w:p w:rsidR="00A67ED6" w:rsidRDefault="00A67ED6" w:rsidP="00A67ED6">
      <w:pPr>
        <w:pStyle w:val="a5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   №    - 19  /21</w:t>
      </w:r>
    </w:p>
    <w:p w:rsidR="00A67ED6" w:rsidRPr="00CC2B4B" w:rsidRDefault="00A67ED6" w:rsidP="00A67ED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19</w:t>
      </w:r>
      <w:r w:rsidRPr="006B4427">
        <w:rPr>
          <w:rFonts w:ascii="Times New Roman" w:hAnsi="Times New Roman"/>
          <w:sz w:val="28"/>
          <w:szCs w:val="28"/>
        </w:rPr>
        <w:t xml:space="preserve"> сесія восьмого скликання )</w:t>
      </w:r>
    </w:p>
    <w:p w:rsidR="00A67ED6" w:rsidRDefault="00A67ED6" w:rsidP="00A67ED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67ED6" w:rsidRDefault="00A67ED6" w:rsidP="00A67ED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67ED6" w:rsidRDefault="00A67ED6" w:rsidP="00A67ED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24.12 </w:t>
      </w:r>
      <w:r w:rsidRPr="006B4427">
        <w:rPr>
          <w:rFonts w:ascii="Times New Roman" w:hAnsi="Times New Roman"/>
          <w:sz w:val="28"/>
          <w:szCs w:val="28"/>
        </w:rPr>
        <w:t xml:space="preserve">.2021 року </w:t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6B4427">
        <w:rPr>
          <w:rFonts w:ascii="Times New Roman" w:hAnsi="Times New Roman"/>
          <w:sz w:val="28"/>
          <w:szCs w:val="28"/>
        </w:rPr>
        <w:t>смт Романів</w:t>
      </w:r>
    </w:p>
    <w:p w:rsidR="005D7623" w:rsidRPr="001B1935" w:rsidRDefault="005D7623" w:rsidP="005D762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D7623" w:rsidRPr="001B1935" w:rsidRDefault="005D7623" w:rsidP="005D762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D7623" w:rsidRDefault="005D7623" w:rsidP="005D762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1B19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Програми </w:t>
      </w:r>
    </w:p>
    <w:p w:rsidR="005D7623" w:rsidRDefault="005D7623" w:rsidP="005D762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забезпечення діяльності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D7623" w:rsidRPr="001B1935" w:rsidRDefault="005D7623" w:rsidP="005D76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громадської організації</w:t>
      </w:r>
    </w:p>
    <w:p w:rsidR="005D762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«Добровільна  пожежна команда»</w:t>
      </w: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D762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на території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D762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округу </w:t>
      </w:r>
    </w:p>
    <w:p w:rsidR="005D762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селищної  </w:t>
      </w:r>
    </w:p>
    <w:p w:rsidR="005D762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(територіальної громади)  </w:t>
      </w: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D7623" w:rsidRPr="001B1935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на  2022-2026 роки</w:t>
      </w:r>
    </w:p>
    <w:bookmarkEnd w:id="0"/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запобігання виникненню пожеж, організації їх гасіння та інших надзвичайних подій, участі та проведенні навчальних та технічних заходів превентивного характеру, та забезпечення техногенно-екологічної безпеки на місцевому рівні, керуючись вимогами статті 91 Бюджетного Кодексу України, статті 26 Закону України “Про місцеве самоврядування” та статті 19 Кодексу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цивільного захисту України,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селищна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(територіальна громада)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Затвердити Програму забезпечення діяльності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громадської організації «Д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обровіл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ьна пожежна команда» на території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ради на  2022-2026 роки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(додається).</w:t>
      </w:r>
    </w:p>
    <w:p w:rsidR="005D7623" w:rsidRPr="001B1935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2. Контроль 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 виконанням цього рішення  залишаю за собою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Селищний голова                                            Володимир САВЧЕНКО</w:t>
      </w:r>
    </w:p>
    <w:p w:rsidR="005D7623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C78" w:rsidRDefault="00125C78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C78" w:rsidRDefault="00125C78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C78" w:rsidRDefault="00125C78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left="5040"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 до рішення сесії</w:t>
      </w:r>
    </w:p>
    <w:p w:rsidR="005D7623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</w:t>
      </w:r>
    </w:p>
    <w:p w:rsidR="005D7623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_____ скликання </w:t>
      </w:r>
    </w:p>
    <w:p w:rsidR="005D7623" w:rsidRPr="001B1935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від ________________ № ____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5D7623" w:rsidRPr="001B1935" w:rsidRDefault="005D7623" w:rsidP="005D7623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ПРОГРАМА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  <w:t xml:space="preserve">забезпечення діяльності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громадської організації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«Добровільна  пожежна команда»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території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округу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(територіальної громади)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 2022-2026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оки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1.Загальні положення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забезпечення діяльності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громадської організації «Добровільна пожежна команда» (далі-ДПК)   на території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ради на 2022-2026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оки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(далі-Програма), розроблена на виконання вимог Кодексу Цивільного захисту України, Закону України «Про місцеве самоврядування в Україні».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визначає основні напрями здійснення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громадської організації «Добровільна пожежна команда» на території населених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ради, забезпечення її діяльності, підтримки її розвитку та зміцнення матеріально-технічної бази.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2.Мета та основні завдання Програми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Метою Програми є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(далі – об’єкти) та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від пожеж, підвищення рівня протипожежного захисту, зниження ризику виникнення  надзвичайних ситуацій техногенного та природнього характеру, підвищення рівня безпеки населення і захищеності території від наслідків  таких ситуацій та створення сприятливих умов для реалізації державної політики у сфері пожежної безпеки.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завданнями Програми є: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діяльності добровільної пожежної команди, зміцнення її матеріально-технічної бази та поліпшення соціально-побутових умов праці працівників добровільної пожежної команди для виконання своїх функцій.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3.Основні напрями реалізації Програми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напрямами реалізації цієї Програми є: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привезти протипожежний стан об’єктів та населених пунктів у відповідність з вимогами законодавчих та інших нормативно-правових актів у сфері пожежної безпеки;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здійснення запобіжних заходів на випадок виникнення надзвичайних ситуацій, створення передумов для їх локалізації та ліквідації, забезпечення проведення невідкладних аварійно-відновлювальних робіт.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знизити протипожежний стан об’єктів та населених пунктів у відповідність з вимогами законодавчих та інших нормативно-правових актів у сфері пожежної безпеки;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знизити ризик виникнення пожеж та загроз, пов’язаних з пожежами, створити сприятливі соціальні умови життєдіяльності населення, зменшити вплив небезпечних факторів пожеж на навколишнє природне середовище;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зменшити кількість пожеж, загиблих і травмованих людей, економічних втрат та матеріальних збитків; своєчасно виявлят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 осередки загорянь, проведення оповіщення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них населення та підрозділи пожежної охорони, видаляти продукти горіння із застосуванням систем протипожежного захисту;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запобігання виникненню та створення передумов для своєчасної та успішної ліквідації наслідків надзвичайних ситуацій на об’єктах і територіях, що характеризуються незадовільним техногенним та екологічним станом.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придбання паливно-мастильних матеріалів,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пожежно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-технічного озброєння і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піноутворення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; засобів захисту органів дихання;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обмундирування і спорядження особового складу, засобів рятування людей; забезпечення необхідних санітарно – гігієнічних умов для цілодобового перебування чергової варти;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резервів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запобігання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ліквідації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техногенного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і природного характеру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наслідків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вивчення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жителями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ради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гарантованого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Конституцією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захист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життя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негативних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наслідкі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; </w:t>
      </w:r>
    </w:p>
    <w:p w:rsidR="005D7623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протипожежної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пропаганди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учнівської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молод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пожежам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наслідкам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них.</w:t>
      </w:r>
    </w:p>
    <w:p w:rsidR="005D7623" w:rsidRPr="001B1935" w:rsidRDefault="005D7623" w:rsidP="005D7623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Pr="00BE056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4.Фінансове </w:t>
      </w:r>
      <w:proofErr w:type="spellStart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забезпечення</w:t>
      </w:r>
      <w:proofErr w:type="spellEnd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BE0563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Фінансове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здійснює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ться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бюджету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спонсорських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кошті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інших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джерел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заборонених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чинним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5.Очікуванні </w:t>
      </w:r>
      <w:proofErr w:type="spellStart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результати</w:t>
      </w:r>
      <w:proofErr w:type="spellEnd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Результатом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стати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дієвий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захист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населення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яке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живає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його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майна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техногенного і природного характеру, 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також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створення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належних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матеріально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техн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ічного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добровільної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пожежної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частини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майстерності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її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виконанні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покладених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завдань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протипожежно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жителів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ради</w:t>
      </w:r>
      <w:proofErr w:type="gramEnd"/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>олова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Володимир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САВЧЕНКО</w:t>
      </w: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D7623" w:rsidRDefault="005D7623" w:rsidP="005D7623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Заходи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громадської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організації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Добровільна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пожежна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команда»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ради 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 2022-2026 роки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1638"/>
        <w:gridCol w:w="1532"/>
        <w:gridCol w:w="2107"/>
        <w:gridCol w:w="1849"/>
        <w:gridCol w:w="2166"/>
      </w:tblGrid>
      <w:tr w:rsidR="005D7623" w:rsidRPr="001B1935" w:rsidTr="003E25A9">
        <w:trPr>
          <w:trHeight w:val="375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Заходи</w:t>
            </w:r>
            <w:proofErr w:type="spellEnd"/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</w:p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1935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Очікувані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</w:t>
            </w:r>
            <w:proofErr w:type="spellEnd"/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заходу</w:t>
            </w:r>
            <w:proofErr w:type="spellEnd"/>
          </w:p>
        </w:tc>
      </w:tr>
      <w:tr w:rsidR="005D7623" w:rsidRPr="001B1935" w:rsidTr="003E25A9">
        <w:trPr>
          <w:trHeight w:val="495"/>
        </w:trPr>
        <w:tc>
          <w:tcPr>
            <w:tcW w:w="484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8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7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</w:tcPr>
          <w:p w:rsidR="005D7623" w:rsidRPr="00BE0563" w:rsidRDefault="005D7623" w:rsidP="003E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6" w:type="dxa"/>
          </w:tcPr>
          <w:p w:rsidR="005D7623" w:rsidRPr="00BE0563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5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623" w:rsidRPr="001B1935" w:rsidTr="003E25A9">
        <w:trPr>
          <w:trHeight w:val="469"/>
        </w:trPr>
        <w:tc>
          <w:tcPr>
            <w:tcW w:w="484" w:type="dxa"/>
          </w:tcPr>
          <w:p w:rsidR="005D7623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6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623" w:rsidRPr="00BE0563" w:rsidRDefault="005D7623" w:rsidP="005D76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Селищний г</w:t>
      </w:r>
      <w:r w:rsidRPr="00BE0563">
        <w:rPr>
          <w:rFonts w:ascii="Times New Roman" w:eastAsia="Calibri" w:hAnsi="Times New Roman" w:cs="Times New Roman"/>
          <w:sz w:val="28"/>
          <w:szCs w:val="28"/>
          <w:lang w:val="ru-RU"/>
        </w:rPr>
        <w:t>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Володимир САВЧЕНКО</w:t>
      </w:r>
      <w:r w:rsidRPr="00BE056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</w:t>
      </w:r>
    </w:p>
    <w:p w:rsidR="005D7623" w:rsidRPr="001B1935" w:rsidRDefault="005D7623" w:rsidP="005D7623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br w:type="page"/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ПАСПОРТ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забезпечення діяльності </w:t>
      </w:r>
    </w:p>
    <w:p w:rsidR="005D7623" w:rsidRPr="00454A31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54A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громадської організації «Добровільна пожежна команда»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території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округу</w:t>
      </w:r>
    </w:p>
    <w:p w:rsidR="005D7623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5D7623" w:rsidRPr="001B1935" w:rsidRDefault="005D7623" w:rsidP="005D7623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2022-2026 роки</w:t>
      </w: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Назва: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Програма забезпечення діяльності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громадської організації «Добровільна пожежна команда» на території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Биківського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ради на  2022-2026 роки.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Підстава для розроблення: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Кодекс Цивільного захисту України та Закону України «Про місцеве самоврядування в Україні».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Замовник Програми або координатор: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виконавчий комітет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(територіальної громади)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Відповідальні за виконання: </w:t>
      </w:r>
      <w:proofErr w:type="spellStart"/>
      <w:r w:rsidRPr="00BE0563"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Романівська</w:t>
      </w:r>
      <w:proofErr w:type="spellEnd"/>
      <w:r w:rsidRPr="00BE05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рада, виконавчий комітет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(територіальної громади)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Мета: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Метою Програми є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(далі – 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б’єкти) та населених пунктів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від пожеж, підвищення рівня протипожежного захисту, зниження ризику виникнення  надзвичайних ситуацій техногенного та природнього характеру, підвищення рівня безпеки населення і захищеності території від наслідків  таких ситуацій та створення сприятливих умов для реалізації державної політики у сфері пожежної безпеки.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Початок: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2022 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рік,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закінчення: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2026</w:t>
      </w:r>
      <w:r w:rsidRPr="001B19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рік.</w:t>
      </w: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7623" w:rsidRPr="001B1935" w:rsidRDefault="005D7623" w:rsidP="005D7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B19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обсяги фінансування: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3"/>
        <w:gridCol w:w="1828"/>
        <w:gridCol w:w="1109"/>
        <w:gridCol w:w="1109"/>
        <w:gridCol w:w="1078"/>
        <w:gridCol w:w="1078"/>
        <w:gridCol w:w="1017"/>
      </w:tblGrid>
      <w:tr w:rsidR="005D7623" w:rsidRPr="001B1935" w:rsidTr="003E25A9">
        <w:trPr>
          <w:trHeight w:val="27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82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Обсяг фінансування усього,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(тис. </w:t>
            </w: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грн.</w:t>
            </w: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109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2022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109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2023</w:t>
            </w: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07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Pr="00AA248B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078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Pr="00AA248B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017" w:type="dxa"/>
          </w:tcPr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D7623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2026 рік</w:t>
            </w:r>
          </w:p>
        </w:tc>
      </w:tr>
      <w:tr w:rsidR="005D7623" w:rsidRPr="001B1935" w:rsidTr="003E25A9">
        <w:trPr>
          <w:trHeight w:val="37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A248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5D7623" w:rsidRPr="001B1935" w:rsidTr="003E25A9">
        <w:trPr>
          <w:trHeight w:val="45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510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36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D7623" w:rsidRPr="001B1935" w:rsidTr="003E25A9">
        <w:trPr>
          <w:trHeight w:val="495"/>
        </w:trPr>
        <w:tc>
          <w:tcPr>
            <w:tcW w:w="2313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B193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82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9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17" w:type="dxa"/>
          </w:tcPr>
          <w:p w:rsidR="005D7623" w:rsidRPr="001B1935" w:rsidRDefault="005D7623" w:rsidP="003E25A9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A9789D" w:rsidRDefault="00A9789D"/>
    <w:sectPr w:rsidR="00A978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C0070"/>
    <w:multiLevelType w:val="hybridMultilevel"/>
    <w:tmpl w:val="62305D78"/>
    <w:lvl w:ilvl="0" w:tplc="7D4C63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70"/>
    <w:rsid w:val="000C1670"/>
    <w:rsid w:val="00125C78"/>
    <w:rsid w:val="005D7623"/>
    <w:rsid w:val="00A67ED6"/>
    <w:rsid w:val="00A9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2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623"/>
    <w:rPr>
      <w:rFonts w:ascii="Tahoma" w:hAnsi="Tahoma" w:cs="Tahoma"/>
      <w:sz w:val="16"/>
      <w:szCs w:val="16"/>
      <w:lang w:val="en-US"/>
    </w:rPr>
  </w:style>
  <w:style w:type="paragraph" w:styleId="a5">
    <w:name w:val="No Spacing"/>
    <w:qFormat/>
    <w:rsid w:val="00A67ED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A67ED6"/>
    <w:rPr>
      <w:rFonts w:ascii="Roboto" w:hAnsi="Roboto" w:cs="Roboto" w:hint="default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2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623"/>
    <w:rPr>
      <w:rFonts w:ascii="Tahoma" w:hAnsi="Tahoma" w:cs="Tahoma"/>
      <w:sz w:val="16"/>
      <w:szCs w:val="16"/>
      <w:lang w:val="en-US"/>
    </w:rPr>
  </w:style>
  <w:style w:type="paragraph" w:styleId="a5">
    <w:name w:val="No Spacing"/>
    <w:qFormat/>
    <w:rsid w:val="00A67ED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30">
    <w:name w:val="A3"/>
    <w:uiPriority w:val="99"/>
    <w:rsid w:val="00A67ED6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5447</Words>
  <Characters>3106</Characters>
  <Application>Microsoft Office Word</Application>
  <DocSecurity>0</DocSecurity>
  <Lines>25</Lines>
  <Paragraphs>17</Paragraphs>
  <ScaleCrop>false</ScaleCrop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2021-12-20T14:52:00Z</dcterms:created>
  <dcterms:modified xsi:type="dcterms:W3CDTF">2021-12-20T14:58:00Z</dcterms:modified>
</cp:coreProperties>
</file>