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1BD" w:rsidRDefault="008121BD">
      <w:pPr>
        <w:spacing w:line="1" w:lineRule="exact"/>
      </w:pPr>
    </w:p>
    <w:p w:rsidR="008121BD" w:rsidRDefault="00E367E7">
      <w:pPr>
        <w:pStyle w:val="1"/>
        <w:shd w:val="clear" w:color="auto" w:fill="auto"/>
        <w:spacing w:after="0"/>
        <w:ind w:left="5860" w:firstLine="0"/>
        <w:jc w:val="both"/>
      </w:pPr>
      <w:r>
        <w:t>ЗАТВЕРДЖЕНО</w:t>
      </w:r>
    </w:p>
    <w:p w:rsidR="008A4EC8" w:rsidRDefault="008A4EC8" w:rsidP="006B58E7">
      <w:pPr>
        <w:pStyle w:val="1"/>
        <w:shd w:val="clear" w:color="auto" w:fill="auto"/>
        <w:spacing w:after="0"/>
        <w:ind w:left="5112" w:firstLine="708"/>
        <w:jc w:val="both"/>
      </w:pPr>
      <w:r>
        <w:t xml:space="preserve">Рішення </w:t>
      </w:r>
      <w:r w:rsidR="00996327">
        <w:t xml:space="preserve">14 </w:t>
      </w:r>
      <w:r w:rsidR="00E367E7">
        <w:t>сесії</w:t>
      </w:r>
      <w:r>
        <w:t xml:space="preserve"> </w:t>
      </w:r>
      <w:r w:rsidR="00996327">
        <w:t>8 скликання</w:t>
      </w:r>
    </w:p>
    <w:p w:rsidR="008121BD" w:rsidRDefault="00996327" w:rsidP="00996327">
      <w:pPr>
        <w:pStyle w:val="1"/>
        <w:shd w:val="clear" w:color="auto" w:fill="auto"/>
        <w:spacing w:after="0"/>
        <w:ind w:left="5820" w:right="960" w:firstLine="0"/>
      </w:pPr>
      <w:r>
        <w:t xml:space="preserve">Романівської селищної </w:t>
      </w:r>
      <w:r w:rsidR="008A4EC8">
        <w:t>ради</w:t>
      </w:r>
    </w:p>
    <w:p w:rsidR="008121BD" w:rsidRDefault="00472878" w:rsidP="00467315">
      <w:pPr>
        <w:pStyle w:val="1"/>
        <w:shd w:val="clear" w:color="auto" w:fill="auto"/>
        <w:spacing w:after="100" w:afterAutospacing="1"/>
        <w:ind w:left="5112" w:firstLine="708"/>
        <w:jc w:val="both"/>
      </w:pPr>
      <w:r>
        <w:t>28 вересн</w:t>
      </w:r>
      <w:r w:rsidR="00857D4F">
        <w:t xml:space="preserve">я </w:t>
      </w:r>
      <w:r w:rsidR="008A4EC8">
        <w:t>2021</w:t>
      </w:r>
      <w:r w:rsidR="00857D4F">
        <w:t xml:space="preserve"> року</w:t>
      </w:r>
      <w:r w:rsidR="008A4EC8">
        <w:t xml:space="preserve"> №</w:t>
      </w:r>
      <w:r w:rsidR="00996327">
        <w:t xml:space="preserve"> 548-14/21</w:t>
      </w:r>
      <w:r>
        <w:t xml:space="preserve"> </w:t>
      </w:r>
    </w:p>
    <w:p w:rsidR="008121BD" w:rsidRDefault="008A4EC8" w:rsidP="00467315">
      <w:pPr>
        <w:pStyle w:val="1"/>
        <w:shd w:val="clear" w:color="auto" w:fill="auto"/>
        <w:spacing w:after="0"/>
        <w:ind w:firstLine="0"/>
        <w:jc w:val="center"/>
      </w:pPr>
      <w:r>
        <w:rPr>
          <w:b/>
          <w:bCs/>
        </w:rPr>
        <w:t>ПРОГНОЗ</w:t>
      </w:r>
    </w:p>
    <w:p w:rsidR="008A4EC8" w:rsidRDefault="008A4EC8" w:rsidP="00467315">
      <w:pPr>
        <w:pStyle w:val="1"/>
        <w:shd w:val="clear" w:color="auto" w:fill="auto"/>
        <w:spacing w:after="0"/>
        <w:ind w:firstLine="0"/>
        <w:jc w:val="center"/>
        <w:rPr>
          <w:b/>
          <w:bCs/>
        </w:rPr>
      </w:pPr>
      <w:r>
        <w:rPr>
          <w:b/>
          <w:bCs/>
        </w:rPr>
        <w:t xml:space="preserve">бюджету Романівської селищної територіальної громади </w:t>
      </w:r>
    </w:p>
    <w:p w:rsidR="008121BD" w:rsidRDefault="008A4EC8" w:rsidP="00467315">
      <w:pPr>
        <w:pStyle w:val="1"/>
        <w:shd w:val="clear" w:color="auto" w:fill="auto"/>
        <w:spacing w:after="0"/>
        <w:ind w:firstLine="0"/>
        <w:jc w:val="center"/>
        <w:rPr>
          <w:b/>
          <w:bCs/>
        </w:rPr>
      </w:pPr>
      <w:r>
        <w:rPr>
          <w:b/>
          <w:bCs/>
        </w:rPr>
        <w:t>на 2022-2024 роки</w:t>
      </w:r>
    </w:p>
    <w:p w:rsidR="00857D4F" w:rsidRPr="00857D4F" w:rsidRDefault="00857D4F" w:rsidP="00857D4F">
      <w:pPr>
        <w:pStyle w:val="1"/>
        <w:spacing w:after="0"/>
        <w:jc w:val="center"/>
        <w:rPr>
          <w:sz w:val="24"/>
        </w:rPr>
      </w:pPr>
      <w:r w:rsidRPr="00857D4F">
        <w:rPr>
          <w:sz w:val="24"/>
        </w:rPr>
        <w:t>(середньостроковий бюджетний період)</w:t>
      </w:r>
    </w:p>
    <w:p w:rsidR="00857D4F" w:rsidRPr="00857D4F" w:rsidRDefault="00857D4F" w:rsidP="0031788A">
      <w:pPr>
        <w:pStyle w:val="1"/>
        <w:spacing w:after="0"/>
        <w:ind w:left="3540" w:firstLine="708"/>
        <w:rPr>
          <w:sz w:val="24"/>
          <w:u w:val="single"/>
        </w:rPr>
      </w:pPr>
      <w:r w:rsidRPr="00857D4F">
        <w:rPr>
          <w:sz w:val="24"/>
          <w:u w:val="single"/>
        </w:rPr>
        <w:t>(06566000000)</w:t>
      </w:r>
    </w:p>
    <w:p w:rsidR="00857D4F" w:rsidRPr="00857D4F" w:rsidRDefault="00857D4F" w:rsidP="00857D4F">
      <w:pPr>
        <w:pStyle w:val="1"/>
        <w:shd w:val="clear" w:color="auto" w:fill="auto"/>
        <w:spacing w:after="0"/>
        <w:ind w:firstLine="0"/>
        <w:jc w:val="center"/>
        <w:rPr>
          <w:u w:val="single"/>
        </w:rPr>
      </w:pPr>
      <w:r w:rsidRPr="00857D4F">
        <w:rPr>
          <w:sz w:val="24"/>
          <w:u w:val="single"/>
        </w:rPr>
        <w:t>(код бюджету</w:t>
      </w:r>
      <w:r w:rsidRPr="00857D4F">
        <w:rPr>
          <w:u w:val="single"/>
        </w:rPr>
        <w:t>)</w:t>
      </w:r>
    </w:p>
    <w:p w:rsidR="00857D4F" w:rsidRDefault="00857D4F" w:rsidP="00857D4F">
      <w:pPr>
        <w:pStyle w:val="11"/>
        <w:keepNext/>
        <w:keepLines/>
        <w:shd w:val="clear" w:color="auto" w:fill="auto"/>
        <w:spacing w:after="0"/>
      </w:pPr>
      <w:bookmarkStart w:id="0" w:name="bookmark0"/>
      <w:bookmarkStart w:id="1" w:name="bookmark1"/>
    </w:p>
    <w:p w:rsidR="007D20E8" w:rsidRDefault="008A4EC8" w:rsidP="00467315">
      <w:pPr>
        <w:pStyle w:val="11"/>
        <w:keepNext/>
        <w:keepLines/>
        <w:shd w:val="clear" w:color="auto" w:fill="auto"/>
        <w:spacing w:after="0"/>
      </w:pPr>
      <w:r>
        <w:t>І. Загальна частина</w:t>
      </w:r>
      <w:bookmarkEnd w:id="0"/>
      <w:bookmarkEnd w:id="1"/>
    </w:p>
    <w:p w:rsidR="000D5C6C" w:rsidRDefault="000D5C6C" w:rsidP="00467315">
      <w:pPr>
        <w:pStyle w:val="11"/>
        <w:keepNext/>
        <w:keepLines/>
        <w:shd w:val="clear" w:color="auto" w:fill="auto"/>
        <w:spacing w:after="0"/>
      </w:pPr>
    </w:p>
    <w:p w:rsidR="007D20E8" w:rsidRDefault="007D20E8" w:rsidP="007D20E8">
      <w:pPr>
        <w:ind w:firstLine="580"/>
        <w:jc w:val="both"/>
        <w:rPr>
          <w:rFonts w:ascii="Times New Roman" w:eastAsia="Times New Roman" w:hAnsi="Times New Roman" w:cs="Times New Roman"/>
          <w:sz w:val="28"/>
          <w:szCs w:val="28"/>
        </w:rPr>
      </w:pPr>
      <w:r w:rsidRPr="007D20E8">
        <w:rPr>
          <w:rFonts w:ascii="Times New Roman" w:eastAsia="Times New Roman" w:hAnsi="Times New Roman" w:cs="Times New Roman"/>
          <w:sz w:val="28"/>
          <w:szCs w:val="28"/>
        </w:rPr>
        <w:t xml:space="preserve">Прогноз бюджету </w:t>
      </w:r>
      <w:r>
        <w:rPr>
          <w:rFonts w:ascii="Times New Roman" w:eastAsia="Times New Roman" w:hAnsi="Times New Roman" w:cs="Times New Roman"/>
          <w:sz w:val="28"/>
          <w:szCs w:val="28"/>
        </w:rPr>
        <w:t>Романівської</w:t>
      </w:r>
      <w:r w:rsidRPr="007D20E8">
        <w:rPr>
          <w:rFonts w:ascii="Times New Roman" w:eastAsia="Times New Roman" w:hAnsi="Times New Roman" w:cs="Times New Roman"/>
          <w:sz w:val="28"/>
          <w:szCs w:val="28"/>
        </w:rPr>
        <w:t xml:space="preserve">   селищної  територіальної громади на 2022-2024 роки (далі – Прогноз) розроблено відповідно до статті 75¹ Бюджетного кодексу України, діючих  Податкового та Бюджетного кодексів України та інших законодавчих актів, що стосуються місцевих бюджетів та міжбюджетних відносин. </w:t>
      </w:r>
    </w:p>
    <w:p w:rsidR="0058448F" w:rsidRPr="007D20E8" w:rsidRDefault="007D20E8" w:rsidP="007D20E8">
      <w:pPr>
        <w:ind w:firstLine="580"/>
        <w:jc w:val="both"/>
        <w:rPr>
          <w:rFonts w:ascii="Times New Roman" w:eastAsia="Times New Roman" w:hAnsi="Times New Roman" w:cs="Times New Roman"/>
          <w:sz w:val="28"/>
          <w:szCs w:val="28"/>
        </w:rPr>
      </w:pPr>
      <w:r w:rsidRPr="007D20E8">
        <w:rPr>
          <w:rFonts w:ascii="Times New Roman" w:eastAsia="Times New Roman" w:hAnsi="Times New Roman" w:cs="Times New Roman"/>
          <w:sz w:val="28"/>
          <w:szCs w:val="28"/>
        </w:rPr>
        <w:t xml:space="preserve">Показники Прогнозу сформовано на підставі положень Бюджетної декларації на 2022-2024 роки, схваленої постановою Кабінету Міністрів України від 31 травня 2021 року № 548, основних прогнозних макропоказників економічного і соціального розвитку України, а також на основі комплексного аналізу економічної ситуації, стану фінансового потенціалу, оцінки досягнутого рівня розвитку економіки і соціальної сфери територіальної громади. </w:t>
      </w:r>
      <w:r w:rsidR="0058448F" w:rsidRPr="0058448F">
        <w:rPr>
          <w:rFonts w:ascii="Times New Roman" w:eastAsia="Times New Roman" w:hAnsi="Times New Roman" w:cs="Times New Roman"/>
          <w:sz w:val="28"/>
          <w:szCs w:val="28"/>
        </w:rPr>
        <w:t>Цей Прогноз визначає основні напрями дій на середньостроковий період, які сприятимуть досягненню довгострокових стратегічних цілей.</w:t>
      </w:r>
    </w:p>
    <w:p w:rsidR="0058448F" w:rsidRPr="007D20E8" w:rsidRDefault="00D40CBE" w:rsidP="007D20E8">
      <w:pPr>
        <w:ind w:firstLine="580"/>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Метою середн</w:t>
      </w:r>
      <w:bookmarkStart w:id="2" w:name="_GoBack"/>
      <w:bookmarkEnd w:id="2"/>
      <w:r w:rsidR="0058448F" w:rsidRPr="0058448F">
        <w:rPr>
          <w:rFonts w:ascii="Times New Roman" w:eastAsia="Times New Roman" w:hAnsi="Times New Roman" w:cs="Times New Roman"/>
          <w:sz w:val="28"/>
          <w:szCs w:val="28"/>
        </w:rPr>
        <w:t xml:space="preserve">ьострокового бюджетного прогнозування є створення дієвого механізму управління бюджетним процесом на території селищної ради, встановлення взаємозв’язку між стратегічними цілями розвитку територіальної громади та можливостями селищного бюджету у середньостроковій перспективі, забезпечення прозорості, передбачуваності та послідовності бюджетної політики </w:t>
      </w:r>
      <w:r w:rsidR="007D20E8" w:rsidRPr="007D20E8">
        <w:rPr>
          <w:rFonts w:ascii="Times New Roman" w:eastAsia="Times New Roman" w:hAnsi="Times New Roman" w:cs="Times New Roman"/>
          <w:sz w:val="28"/>
          <w:szCs w:val="28"/>
        </w:rPr>
        <w:t xml:space="preserve">Романівської </w:t>
      </w:r>
      <w:r w:rsidR="0058448F" w:rsidRPr="007D20E8">
        <w:rPr>
          <w:rFonts w:ascii="Times New Roman" w:eastAsia="Times New Roman" w:hAnsi="Times New Roman" w:cs="Times New Roman"/>
          <w:sz w:val="28"/>
          <w:szCs w:val="28"/>
        </w:rPr>
        <w:t>селищної ради.</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bCs/>
          <w:color w:val="auto"/>
          <w:sz w:val="28"/>
          <w:szCs w:val="28"/>
        </w:rPr>
        <w:t>Основними завданнями є:</w:t>
      </w:r>
    </w:p>
    <w:p w:rsid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 xml:space="preserve">забезпечення надходжень до бюджету </w:t>
      </w:r>
      <w:r w:rsidR="000848E3">
        <w:rPr>
          <w:rFonts w:ascii="Times New Roman" w:eastAsia="Times New Roman" w:hAnsi="Times New Roman" w:cs="Times New Roman"/>
          <w:color w:val="auto"/>
          <w:sz w:val="28"/>
          <w:szCs w:val="28"/>
        </w:rPr>
        <w:t xml:space="preserve">Романівської </w:t>
      </w:r>
      <w:r w:rsidRPr="007D20E8">
        <w:rPr>
          <w:rFonts w:ascii="Times New Roman" w:eastAsia="Times New Roman" w:hAnsi="Times New Roman" w:cs="Times New Roman"/>
          <w:color w:val="auto"/>
          <w:sz w:val="28"/>
          <w:szCs w:val="28"/>
        </w:rPr>
        <w:t>селищної територіальної громади з урахуванням позитивної динаміки у порівнянні з попередніми роками;</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підвищення результативності та ефективності використання бюджетних коштів;</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посилення бюджетної дисципліни та контролю за витратами бюджету;</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забезпечення фінансування проектів (програм), що мають термін реалізації більше одного року.</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bCs/>
          <w:color w:val="auto"/>
          <w:sz w:val="28"/>
          <w:szCs w:val="28"/>
        </w:rPr>
        <w:t>Очікувані результати:</w:t>
      </w:r>
    </w:p>
    <w:p w:rsidR="00C421D2" w:rsidRDefault="007D20E8" w:rsidP="00C421D2">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 xml:space="preserve">Досягнення максимальної ефективності використання бюджетних коштів у процесі виконання бюджетних програм (у зв’язку із запровадженням програмно-цільового методу складання і виконання бюджету </w:t>
      </w:r>
      <w:r>
        <w:rPr>
          <w:rFonts w:ascii="Times New Roman" w:eastAsia="Times New Roman" w:hAnsi="Times New Roman" w:cs="Times New Roman"/>
          <w:color w:val="auto"/>
          <w:sz w:val="28"/>
          <w:szCs w:val="28"/>
        </w:rPr>
        <w:t xml:space="preserve">селищної територіальної </w:t>
      </w:r>
      <w:r>
        <w:rPr>
          <w:rFonts w:ascii="Times New Roman" w:eastAsia="Times New Roman" w:hAnsi="Times New Roman" w:cs="Times New Roman"/>
          <w:color w:val="auto"/>
          <w:sz w:val="28"/>
          <w:szCs w:val="28"/>
        </w:rPr>
        <w:lastRenderedPageBreak/>
        <w:t xml:space="preserve">громади </w:t>
      </w:r>
      <w:r w:rsidRPr="007D20E8">
        <w:rPr>
          <w:rFonts w:ascii="Times New Roman" w:eastAsia="Times New Roman" w:hAnsi="Times New Roman" w:cs="Times New Roman"/>
          <w:color w:val="auto"/>
          <w:sz w:val="28"/>
          <w:szCs w:val="28"/>
        </w:rPr>
        <w:t>та середньострокового бюджетного планування).</w:t>
      </w:r>
    </w:p>
    <w:p w:rsidR="007D20E8" w:rsidRDefault="007D20E8" w:rsidP="00C421D2">
      <w:pPr>
        <w:ind w:firstLine="600"/>
        <w:jc w:val="both"/>
        <w:rPr>
          <w:rFonts w:ascii="Times New Roman" w:eastAsia="Times New Roman" w:hAnsi="Times New Roman" w:cs="Times New Roman"/>
          <w:sz w:val="28"/>
          <w:szCs w:val="28"/>
        </w:rPr>
      </w:pPr>
      <w:r w:rsidRPr="007D20E8">
        <w:rPr>
          <w:rFonts w:ascii="Times New Roman" w:eastAsia="Times New Roman" w:hAnsi="Times New Roman" w:cs="Times New Roman"/>
          <w:sz w:val="28"/>
          <w:szCs w:val="28"/>
        </w:rPr>
        <w:t xml:space="preserve">Невиконання прогнозних показників бюджету </w:t>
      </w:r>
      <w:r>
        <w:rPr>
          <w:rFonts w:ascii="Times New Roman" w:eastAsia="Times New Roman" w:hAnsi="Times New Roman" w:cs="Times New Roman"/>
          <w:sz w:val="28"/>
          <w:szCs w:val="28"/>
        </w:rPr>
        <w:t>Романівської</w:t>
      </w:r>
      <w:r w:rsidRPr="007D20E8">
        <w:rPr>
          <w:rFonts w:ascii="Times New Roman" w:eastAsia="Times New Roman" w:hAnsi="Times New Roman" w:cs="Times New Roman"/>
          <w:sz w:val="28"/>
          <w:szCs w:val="28"/>
        </w:rPr>
        <w:t xml:space="preserve"> селищної територіальної громади на 2022-2024 роки може відбутись у разі змін в економічному середовищі, які будуть залежати від наслідків поширення коронавірусної інфекції СОУІЮ - 19, невідповідності основних прогнозних показників економічного і соціального розвитку показникам, врахованим під час формування прогнозу. Можливими ризиками невиконання прогнозних показників також можуть бути зростання тарифів на оплату комунальних послуг та енергоносіїв, врахованими у Прогнозі, невиконання прогнозних показників доходів бюджету, підвищення рівня інфляції. Заходами з мінімізації впливу фіскальних ризиків на показники бюджету є здійснення заходів з енергозбереження, покращення адміністрування податків і зборів, зниження частки тіньової економіки, підвищення інвестиційної привабливості громади.</w:t>
      </w:r>
    </w:p>
    <w:p w:rsidR="007D20E8" w:rsidRDefault="007D20E8" w:rsidP="007D20E8">
      <w:pPr>
        <w:ind w:left="-142" w:firstLine="580"/>
        <w:jc w:val="both"/>
        <w:rPr>
          <w:rFonts w:ascii="Times New Roman" w:eastAsia="Times New Roman" w:hAnsi="Times New Roman" w:cs="Times New Roman"/>
          <w:sz w:val="28"/>
          <w:szCs w:val="28"/>
        </w:rPr>
      </w:pPr>
    </w:p>
    <w:p w:rsidR="007D20E8" w:rsidRDefault="007D20E8" w:rsidP="007D20E8">
      <w:pPr>
        <w:ind w:left="-142" w:firstLine="580"/>
        <w:jc w:val="center"/>
        <w:rPr>
          <w:rFonts w:ascii="Times New Roman" w:eastAsia="Times New Roman" w:hAnsi="Times New Roman" w:cs="Times New Roman"/>
          <w:b/>
          <w:bCs/>
          <w:sz w:val="28"/>
          <w:szCs w:val="28"/>
        </w:rPr>
      </w:pPr>
      <w:r w:rsidRPr="007D20E8">
        <w:rPr>
          <w:rFonts w:ascii="Times New Roman" w:eastAsia="Times New Roman" w:hAnsi="Times New Roman" w:cs="Times New Roman"/>
          <w:b/>
          <w:sz w:val="28"/>
          <w:szCs w:val="28"/>
        </w:rPr>
        <w:t>ІІ.</w:t>
      </w:r>
      <w:r>
        <w:rPr>
          <w:rFonts w:ascii="Times New Roman" w:eastAsia="Times New Roman" w:hAnsi="Times New Roman" w:cs="Times New Roman"/>
          <w:b/>
          <w:sz w:val="28"/>
          <w:szCs w:val="28"/>
        </w:rPr>
        <w:t xml:space="preserve"> </w:t>
      </w:r>
      <w:r w:rsidR="0058448F" w:rsidRPr="007D20E8">
        <w:rPr>
          <w:rFonts w:ascii="Times New Roman" w:eastAsia="Times New Roman" w:hAnsi="Times New Roman" w:cs="Times New Roman"/>
          <w:b/>
          <w:bCs/>
          <w:sz w:val="28"/>
          <w:szCs w:val="28"/>
        </w:rPr>
        <w:t>Основні</w:t>
      </w:r>
      <w:r w:rsidR="0058448F" w:rsidRPr="0058448F">
        <w:rPr>
          <w:rFonts w:ascii="Times New Roman" w:eastAsia="Times New Roman" w:hAnsi="Times New Roman" w:cs="Times New Roman"/>
          <w:b/>
          <w:bCs/>
          <w:sz w:val="28"/>
          <w:szCs w:val="28"/>
        </w:rPr>
        <w:t xml:space="preserve"> прогнозні показники економічного</w:t>
      </w:r>
    </w:p>
    <w:p w:rsidR="00C421D2" w:rsidRPr="007D20E8" w:rsidRDefault="0058448F" w:rsidP="00971ADD">
      <w:pPr>
        <w:ind w:left="-142" w:firstLine="578"/>
        <w:jc w:val="center"/>
        <w:rPr>
          <w:rFonts w:ascii="Times New Roman" w:eastAsia="Times New Roman" w:hAnsi="Times New Roman" w:cs="Times New Roman"/>
          <w:sz w:val="28"/>
          <w:szCs w:val="28"/>
        </w:rPr>
      </w:pPr>
      <w:r w:rsidRPr="0058448F">
        <w:rPr>
          <w:rFonts w:ascii="Times New Roman" w:eastAsia="Times New Roman" w:hAnsi="Times New Roman" w:cs="Times New Roman"/>
          <w:b/>
          <w:bCs/>
          <w:sz w:val="28"/>
          <w:szCs w:val="28"/>
        </w:rPr>
        <w:t>та соціального розвитку</w:t>
      </w:r>
    </w:p>
    <w:p w:rsidR="0058448F" w:rsidRPr="0058448F" w:rsidRDefault="0058448F" w:rsidP="00971ADD">
      <w:pPr>
        <w:ind w:firstLine="57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Прогнозні показники селищного бюджету на 2022 - 2024 роки є основою для складання головними розпорядниками бюджетних коштів планів своєї діяльності та формування показників проекту селищного бюджету на середньострокову перспективу.</w:t>
      </w:r>
    </w:p>
    <w:p w:rsidR="0058448F" w:rsidRPr="0058448F" w:rsidRDefault="0058448F" w:rsidP="0058448F">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Зміцнення фінансової бази селищного бюджету сприятиме збільшенню фінансової спроможності місцевого самоврядування до забезпечення делегованих повноважень та виконання програм розвитку громади.</w:t>
      </w:r>
    </w:p>
    <w:p w:rsidR="0058448F" w:rsidRPr="0058448F" w:rsidRDefault="0058448F" w:rsidP="0058448F">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Для досягнення цієї мети політика громади спрямовуватиметься на проведення комплексних реформ у всіх сферах життєдіяльності із одночасним забезпеченням на належному рівні соціальної підтримки населення.</w:t>
      </w:r>
    </w:p>
    <w:p w:rsidR="0058448F" w:rsidRPr="0058448F" w:rsidRDefault="0058448F" w:rsidP="0058448F">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У бюджетній сфері основним завданням залишатиметься забезпечення макроекономічної стабільності, збалансованості та стійкості бюджетної системи.</w:t>
      </w:r>
    </w:p>
    <w:p w:rsidR="0058448F" w:rsidRPr="0058448F" w:rsidRDefault="0058448F" w:rsidP="00C421D2">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децентралізацію бюджетних ресурсів, підвищення ефективності використання бюджетних коштів, відповідальності всіх учасників бюджетного процесу тощо.</w:t>
      </w:r>
    </w:p>
    <w:p w:rsidR="00C421D2" w:rsidRPr="00C421D2" w:rsidRDefault="00C421D2" w:rsidP="00C421D2">
      <w:pPr>
        <w:widowControl/>
        <w:spacing w:line="259" w:lineRule="auto"/>
        <w:jc w:val="both"/>
        <w:rPr>
          <w:rFonts w:ascii="Times New Roman" w:eastAsia="Calibri" w:hAnsi="Times New Roman" w:cs="Times New Roman"/>
          <w:b/>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        Прогнозується на 2022-2024 роки забезпечення економічної стабільності та зниження фінансових ризиків, зростання показників господарської діяльності промислових та сільськогосподарських підприємств, створення передумов для змін технологічності виробництва.</w:t>
      </w:r>
    </w:p>
    <w:p w:rsidR="0058448F" w:rsidRDefault="0058448F" w:rsidP="000848E3">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Прогноз селищного бюджету </w:t>
      </w:r>
      <w:r w:rsidR="00C421D2" w:rsidRPr="0058448F">
        <w:rPr>
          <w:rFonts w:ascii="Times New Roman" w:eastAsia="Times New Roman" w:hAnsi="Times New Roman" w:cs="Times New Roman"/>
          <w:sz w:val="28"/>
          <w:szCs w:val="28"/>
        </w:rPr>
        <w:t>ґрунтується</w:t>
      </w:r>
      <w:r w:rsidRPr="0058448F">
        <w:rPr>
          <w:rFonts w:ascii="Times New Roman" w:eastAsia="Times New Roman" w:hAnsi="Times New Roman" w:cs="Times New Roman"/>
          <w:sz w:val="28"/>
          <w:szCs w:val="28"/>
        </w:rPr>
        <w:t xml:space="preserve"> на прогнозних макропоказниках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w:t>
      </w:r>
    </w:p>
    <w:p w:rsidR="000848E3" w:rsidRDefault="000848E3" w:rsidP="000848E3">
      <w:pPr>
        <w:ind w:firstLine="601"/>
        <w:jc w:val="both"/>
        <w:rPr>
          <w:rFonts w:ascii="Times New Roman" w:eastAsia="Times New Roman" w:hAnsi="Times New Roman" w:cs="Times New Roman"/>
          <w:sz w:val="28"/>
          <w:szCs w:val="28"/>
        </w:rPr>
      </w:pPr>
    </w:p>
    <w:p w:rsidR="000D5C6C" w:rsidRDefault="000D5C6C" w:rsidP="00C421D2">
      <w:pPr>
        <w:widowControl/>
        <w:spacing w:line="259" w:lineRule="auto"/>
        <w:jc w:val="center"/>
        <w:rPr>
          <w:rFonts w:ascii="Times New Roman" w:eastAsia="Calibri" w:hAnsi="Times New Roman" w:cs="Times New Roman"/>
          <w:color w:val="auto"/>
          <w:sz w:val="28"/>
          <w:szCs w:val="28"/>
          <w:lang w:eastAsia="en-US" w:bidi="ar-SA"/>
        </w:rPr>
      </w:pPr>
    </w:p>
    <w:p w:rsidR="000D5C6C" w:rsidRDefault="000D5C6C" w:rsidP="00C421D2">
      <w:pPr>
        <w:widowControl/>
        <w:spacing w:line="259" w:lineRule="auto"/>
        <w:jc w:val="center"/>
        <w:rPr>
          <w:rFonts w:ascii="Times New Roman" w:eastAsia="Calibri" w:hAnsi="Times New Roman" w:cs="Times New Roman"/>
          <w:color w:val="auto"/>
          <w:sz w:val="28"/>
          <w:szCs w:val="28"/>
          <w:lang w:eastAsia="en-US" w:bidi="ar-SA"/>
        </w:rPr>
      </w:pPr>
    </w:p>
    <w:p w:rsidR="00C421D2" w:rsidRPr="00C421D2" w:rsidRDefault="00C421D2" w:rsidP="00C421D2">
      <w:pPr>
        <w:widowControl/>
        <w:spacing w:line="259" w:lineRule="auto"/>
        <w:jc w:val="center"/>
        <w:rPr>
          <w:rFonts w:ascii="Times New Roman" w:eastAsia="Calibri" w:hAnsi="Times New Roman" w:cs="Times New Roman"/>
          <w:color w:val="auto"/>
          <w:sz w:val="28"/>
          <w:szCs w:val="28"/>
          <w:lang w:eastAsia="en-US" w:bidi="ar-SA"/>
        </w:rPr>
      </w:pPr>
      <w:r w:rsidRPr="00C421D2">
        <w:rPr>
          <w:rFonts w:ascii="Times New Roman" w:eastAsia="Calibri" w:hAnsi="Times New Roman" w:cs="Times New Roman"/>
          <w:color w:val="auto"/>
          <w:sz w:val="28"/>
          <w:szCs w:val="28"/>
          <w:lang w:eastAsia="en-US" w:bidi="ar-SA"/>
        </w:rPr>
        <w:t>Основні  макропоказники  економічного і соціального розвитку України  у</w:t>
      </w:r>
    </w:p>
    <w:p w:rsidR="00C421D2" w:rsidRPr="00C421D2" w:rsidRDefault="00C421D2" w:rsidP="00C421D2">
      <w:pPr>
        <w:widowControl/>
        <w:spacing w:line="259" w:lineRule="auto"/>
        <w:rPr>
          <w:rFonts w:ascii="Times New Roman" w:eastAsia="Calibri" w:hAnsi="Times New Roman" w:cs="Times New Roman"/>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                                                    2020 – 2024 роках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276"/>
        <w:gridCol w:w="1417"/>
        <w:gridCol w:w="993"/>
        <w:gridCol w:w="992"/>
        <w:gridCol w:w="992"/>
      </w:tblGrid>
      <w:tr w:rsidR="00C421D2" w:rsidRPr="00C421D2" w:rsidTr="00D20870">
        <w:tc>
          <w:tcPr>
            <w:tcW w:w="4219"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Назва</w:t>
            </w:r>
          </w:p>
        </w:tc>
        <w:tc>
          <w:tcPr>
            <w:tcW w:w="1276"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2020р</w:t>
            </w:r>
          </w:p>
        </w:tc>
        <w:tc>
          <w:tcPr>
            <w:tcW w:w="1417"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2021р</w:t>
            </w:r>
          </w:p>
        </w:tc>
        <w:tc>
          <w:tcPr>
            <w:tcW w:w="993"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2022 р</w:t>
            </w:r>
          </w:p>
        </w:tc>
        <w:tc>
          <w:tcPr>
            <w:tcW w:w="992"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2023р</w:t>
            </w:r>
          </w:p>
        </w:tc>
        <w:tc>
          <w:tcPr>
            <w:tcW w:w="992"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2024р</w:t>
            </w:r>
          </w:p>
        </w:tc>
      </w:tr>
      <w:tr w:rsidR="00C421D2" w:rsidRPr="00C421D2" w:rsidTr="00D20870">
        <w:tc>
          <w:tcPr>
            <w:tcW w:w="4219"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p>
        </w:tc>
        <w:tc>
          <w:tcPr>
            <w:tcW w:w="1276"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  З</w:t>
            </w:r>
            <w:r w:rsidRPr="00C421D2">
              <w:rPr>
                <w:rFonts w:ascii="Times New Roman" w:eastAsia="Calibri" w:hAnsi="Times New Roman" w:cs="Times New Roman"/>
                <w:color w:val="auto"/>
                <w:sz w:val="26"/>
                <w:szCs w:val="26"/>
                <w:lang w:eastAsia="en-US" w:bidi="ar-SA"/>
              </w:rPr>
              <w:t>віт</w:t>
            </w:r>
          </w:p>
        </w:tc>
        <w:tc>
          <w:tcPr>
            <w:tcW w:w="1417"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6"/>
                <w:szCs w:val="26"/>
                <w:lang w:eastAsia="en-US" w:bidi="ar-SA"/>
              </w:rPr>
            </w:pPr>
            <w:r w:rsidRPr="00C421D2">
              <w:rPr>
                <w:rFonts w:ascii="Times New Roman" w:eastAsia="Calibri" w:hAnsi="Times New Roman" w:cs="Times New Roman"/>
                <w:color w:val="auto"/>
                <w:sz w:val="26"/>
                <w:szCs w:val="26"/>
                <w:lang w:eastAsia="en-US" w:bidi="ar-SA"/>
              </w:rPr>
              <w:t>Очікуване</w:t>
            </w:r>
          </w:p>
        </w:tc>
        <w:tc>
          <w:tcPr>
            <w:tcW w:w="2977" w:type="dxa"/>
            <w:gridSpan w:val="3"/>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6"/>
                <w:szCs w:val="26"/>
                <w:lang w:eastAsia="en-US" w:bidi="ar-SA"/>
              </w:rPr>
            </w:pPr>
            <w:r w:rsidRPr="00C421D2">
              <w:rPr>
                <w:rFonts w:ascii="Times New Roman" w:eastAsia="Calibri" w:hAnsi="Times New Roman" w:cs="Times New Roman"/>
                <w:color w:val="auto"/>
                <w:sz w:val="28"/>
                <w:szCs w:val="28"/>
                <w:lang w:eastAsia="en-US" w:bidi="ar-SA"/>
              </w:rPr>
              <w:t xml:space="preserve">          </w:t>
            </w:r>
            <w:r w:rsidRPr="00C421D2">
              <w:rPr>
                <w:rFonts w:ascii="Times New Roman" w:eastAsia="Calibri" w:hAnsi="Times New Roman" w:cs="Times New Roman"/>
                <w:color w:val="auto"/>
                <w:sz w:val="26"/>
                <w:szCs w:val="26"/>
                <w:lang w:eastAsia="en-US" w:bidi="ar-SA"/>
              </w:rPr>
              <w:t xml:space="preserve">  Прогноз</w:t>
            </w:r>
          </w:p>
        </w:tc>
      </w:tr>
      <w:tr w:rsidR="00C421D2" w:rsidRPr="00C421D2" w:rsidTr="00D20870">
        <w:trPr>
          <w:trHeight w:val="566"/>
        </w:trPr>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Валовий внутрішній продукт: у відсотках до попереднього року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96,0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104,1</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103,8</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104,7</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105,0</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Індекс споживчих цін (ІСЦ): грудень до грудня попереднього року, відсотки</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108,9</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106,2</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105,3</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105,0</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Індекс цін виробників (ІЦВ): грудень до грудня попереднього року, відсотки</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114,5</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117,0</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107,8</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106,2</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105,7</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Експорт товарів та послуг у відсотках до попереднього року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95,5</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108,8</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106,5</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107,7</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107,9</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Імпорт товарів та послуг у відсотках до попереднього року</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82,1 </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115,6</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109,2</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109,4</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108,6</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Облікова ставка Національного банку України, відсотків річних на кінець періоду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6,0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7,5</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7,0</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5,5</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5,2</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Обмінний курс гривні до долара США, гривень за долар США в середньому за період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27,0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28,0</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28,6</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28,8</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29,2</w:t>
            </w:r>
          </w:p>
        </w:tc>
      </w:tr>
    </w:tbl>
    <w:p w:rsidR="00C421D2" w:rsidRPr="00C421D2" w:rsidRDefault="00C421D2" w:rsidP="00C421D2">
      <w:pPr>
        <w:widowControl/>
        <w:tabs>
          <w:tab w:val="left" w:pos="1134"/>
        </w:tabs>
        <w:spacing w:line="259" w:lineRule="auto"/>
        <w:jc w:val="both"/>
        <w:rPr>
          <w:rFonts w:ascii="Times New Roman" w:eastAsia="Calibri" w:hAnsi="Times New Roman" w:cs="Times New Roman"/>
          <w:b/>
          <w:color w:val="auto"/>
          <w:sz w:val="28"/>
          <w:szCs w:val="28"/>
          <w:lang w:eastAsia="en-US" w:bidi="ar-SA"/>
        </w:rPr>
      </w:pPr>
    </w:p>
    <w:p w:rsidR="0003691C" w:rsidRPr="0003691C" w:rsidRDefault="0003691C" w:rsidP="0003691C">
      <w:pPr>
        <w:ind w:left="533"/>
        <w:rPr>
          <w:rFonts w:ascii="Times New Roman" w:eastAsia="Times New Roman" w:hAnsi="Times New Roman" w:cs="Times New Roman"/>
          <w:sz w:val="28"/>
          <w:szCs w:val="28"/>
        </w:rPr>
      </w:pPr>
      <w:r w:rsidRPr="0003691C">
        <w:rPr>
          <w:rFonts w:ascii="Times New Roman" w:eastAsia="Times New Roman" w:hAnsi="Times New Roman" w:cs="Times New Roman"/>
          <w:sz w:val="28"/>
          <w:szCs w:val="28"/>
        </w:rPr>
        <w:t>Прожитковий мінімум на 2022 - 2024 роки становитиме: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850"/>
        <w:gridCol w:w="850"/>
        <w:gridCol w:w="850"/>
        <w:gridCol w:w="850"/>
        <w:gridCol w:w="854"/>
        <w:gridCol w:w="850"/>
        <w:gridCol w:w="850"/>
        <w:gridCol w:w="850"/>
        <w:gridCol w:w="859"/>
      </w:tblGrid>
      <w:tr w:rsidR="0003691C" w:rsidRPr="0003691C" w:rsidTr="00D20870">
        <w:trPr>
          <w:trHeight w:hRule="exact" w:val="374"/>
          <w:jc w:val="center"/>
        </w:trPr>
        <w:tc>
          <w:tcPr>
            <w:tcW w:w="1992" w:type="dxa"/>
            <w:vMerge w:val="restart"/>
            <w:tcBorders>
              <w:top w:val="single" w:sz="4" w:space="0" w:color="auto"/>
              <w:left w:val="single" w:sz="4" w:space="0" w:color="auto"/>
            </w:tcBorders>
            <w:shd w:val="clear" w:color="auto" w:fill="FFFFFF"/>
            <w:vAlign w:val="center"/>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Показник</w:t>
            </w:r>
          </w:p>
        </w:tc>
        <w:tc>
          <w:tcPr>
            <w:tcW w:w="2550" w:type="dxa"/>
            <w:gridSpan w:val="3"/>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b/>
                <w:bCs/>
              </w:rPr>
              <w:t>2022 рік</w:t>
            </w:r>
          </w:p>
        </w:tc>
        <w:tc>
          <w:tcPr>
            <w:tcW w:w="2554" w:type="dxa"/>
            <w:gridSpan w:val="3"/>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b/>
                <w:bCs/>
              </w:rPr>
              <w:t>2023 рік</w:t>
            </w:r>
          </w:p>
        </w:tc>
        <w:tc>
          <w:tcPr>
            <w:tcW w:w="2559" w:type="dxa"/>
            <w:gridSpan w:val="3"/>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b/>
                <w:bCs/>
              </w:rPr>
              <w:t>2024 рік</w:t>
            </w:r>
          </w:p>
        </w:tc>
      </w:tr>
      <w:tr w:rsidR="0003691C" w:rsidRPr="0003691C" w:rsidTr="00D20870">
        <w:trPr>
          <w:trHeight w:hRule="exact" w:val="562"/>
          <w:jc w:val="center"/>
        </w:trPr>
        <w:tc>
          <w:tcPr>
            <w:tcW w:w="1992" w:type="dxa"/>
            <w:vMerge/>
            <w:tcBorders>
              <w:left w:val="single" w:sz="4" w:space="0" w:color="auto"/>
            </w:tcBorders>
            <w:shd w:val="clear" w:color="auto" w:fill="FFFFFF"/>
            <w:vAlign w:val="center"/>
          </w:tcPr>
          <w:p w:rsidR="0003691C" w:rsidRPr="0003691C" w:rsidRDefault="0003691C" w:rsidP="0003691C"/>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січня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липня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грудня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січня</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липня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грудня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січня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липня</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грудня</w:t>
            </w:r>
          </w:p>
        </w:tc>
      </w:tr>
      <w:tr w:rsidR="0003691C" w:rsidRPr="0003691C" w:rsidTr="00D20870">
        <w:trPr>
          <w:trHeight w:hRule="exact" w:val="835"/>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Прожитковий мінімум, грн: на одну особу</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2 393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2 508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2 589</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2 589</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2 713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2 778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2 778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2 911</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2 972</w:t>
            </w:r>
          </w:p>
        </w:tc>
      </w:tr>
      <w:tr w:rsidR="0003691C" w:rsidRPr="0003691C" w:rsidTr="00D20870">
        <w:trPr>
          <w:trHeight w:hRule="exact" w:val="571"/>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дітей віком до 6 років</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2 100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2 201</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2 272</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2 272</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2 381</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2 438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2 438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2 555</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2 609</w:t>
            </w:r>
          </w:p>
        </w:tc>
      </w:tr>
      <w:tr w:rsidR="0003691C" w:rsidRPr="0003691C" w:rsidTr="00D20870">
        <w:trPr>
          <w:trHeight w:hRule="exact" w:val="576"/>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дітей віком від 6 до 18 років</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2 618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2 744</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2 833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2 833</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2 969</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3 040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3 040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3 186</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3 253</w:t>
            </w:r>
          </w:p>
        </w:tc>
      </w:tr>
      <w:tr w:rsidR="0003691C" w:rsidRPr="0003691C" w:rsidTr="00D20870">
        <w:trPr>
          <w:trHeight w:hRule="exact" w:val="835"/>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працездатних осіб</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2 481</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2 600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2 684</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2 684</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2 813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2 880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2 880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3 018</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3 082</w:t>
            </w:r>
          </w:p>
        </w:tc>
      </w:tr>
      <w:tr w:rsidR="0003691C" w:rsidRPr="0003691C" w:rsidTr="00D20870">
        <w:trPr>
          <w:trHeight w:hRule="exact" w:val="869"/>
          <w:jc w:val="center"/>
        </w:trPr>
        <w:tc>
          <w:tcPr>
            <w:tcW w:w="1992" w:type="dxa"/>
            <w:tcBorders>
              <w:top w:val="single" w:sz="4" w:space="0" w:color="auto"/>
              <w:left w:val="single" w:sz="4" w:space="0" w:color="auto"/>
              <w:bottom w:val="single" w:sz="4" w:space="0" w:color="auto"/>
            </w:tcBorders>
            <w:shd w:val="clear" w:color="auto" w:fill="FFFFFF"/>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осіб, які втратили працездатність</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1 934</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2 027</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2 093</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2 093</w:t>
            </w:r>
          </w:p>
        </w:tc>
        <w:tc>
          <w:tcPr>
            <w:tcW w:w="854"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2 193</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2 246</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2 246</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2 354</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2 403</w:t>
            </w:r>
          </w:p>
        </w:tc>
      </w:tr>
    </w:tbl>
    <w:p w:rsidR="0003691C" w:rsidRDefault="0003691C" w:rsidP="0003691C">
      <w:pPr>
        <w:spacing w:after="299" w:line="1" w:lineRule="exact"/>
      </w:pPr>
    </w:p>
    <w:p w:rsidR="000D5C6C" w:rsidRDefault="000D5C6C" w:rsidP="0003691C">
      <w:pPr>
        <w:spacing w:after="299" w:line="1" w:lineRule="exact"/>
      </w:pPr>
    </w:p>
    <w:p w:rsidR="000D5C6C" w:rsidRDefault="000D5C6C" w:rsidP="0003691C">
      <w:pPr>
        <w:spacing w:after="299" w:line="1" w:lineRule="exact"/>
      </w:pPr>
    </w:p>
    <w:p w:rsidR="000D5C6C" w:rsidRDefault="000D5C6C" w:rsidP="0003691C">
      <w:pPr>
        <w:spacing w:after="299" w:line="1" w:lineRule="exact"/>
      </w:pPr>
    </w:p>
    <w:p w:rsidR="000D5C6C" w:rsidRPr="0003691C" w:rsidRDefault="000D5C6C" w:rsidP="0003691C">
      <w:pPr>
        <w:spacing w:after="299" w:line="1" w:lineRule="exact"/>
      </w:pPr>
    </w:p>
    <w:p w:rsidR="0003691C" w:rsidRPr="0003691C" w:rsidRDefault="0003691C" w:rsidP="0003691C">
      <w:pPr>
        <w:spacing w:line="1" w:lineRule="exact"/>
      </w:pPr>
    </w:p>
    <w:p w:rsidR="0003691C" w:rsidRPr="0003691C" w:rsidRDefault="0003691C" w:rsidP="0003691C">
      <w:pPr>
        <w:ind w:left="533"/>
        <w:rPr>
          <w:rFonts w:ascii="Times New Roman" w:eastAsia="Times New Roman" w:hAnsi="Times New Roman" w:cs="Times New Roman"/>
          <w:sz w:val="28"/>
          <w:szCs w:val="28"/>
        </w:rPr>
      </w:pPr>
      <w:r w:rsidRPr="0003691C">
        <w:rPr>
          <w:rFonts w:ascii="Times New Roman" w:eastAsia="Times New Roman" w:hAnsi="Times New Roman" w:cs="Times New Roman"/>
          <w:sz w:val="28"/>
          <w:szCs w:val="28"/>
        </w:rPr>
        <w:t>Мінімальна зар</w:t>
      </w:r>
      <w:r w:rsidR="000D5C6C">
        <w:rPr>
          <w:rFonts w:ascii="Times New Roman" w:eastAsia="Times New Roman" w:hAnsi="Times New Roman" w:cs="Times New Roman"/>
          <w:sz w:val="28"/>
          <w:szCs w:val="28"/>
        </w:rPr>
        <w:t xml:space="preserve">обітна </w:t>
      </w:r>
      <w:r w:rsidRPr="0003691C">
        <w:rPr>
          <w:rFonts w:ascii="Times New Roman" w:eastAsia="Times New Roman" w:hAnsi="Times New Roman" w:cs="Times New Roman"/>
          <w:sz w:val="28"/>
          <w:szCs w:val="28"/>
        </w:rPr>
        <w:t>плата та соціальні стандарти: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81"/>
        <w:gridCol w:w="970"/>
        <w:gridCol w:w="2270"/>
        <w:gridCol w:w="1128"/>
        <w:gridCol w:w="2290"/>
      </w:tblGrid>
      <w:tr w:rsidR="0003691C" w:rsidRPr="0003691C" w:rsidTr="00D20870">
        <w:trPr>
          <w:trHeight w:hRule="exact" w:val="845"/>
          <w:jc w:val="center"/>
        </w:trPr>
        <w:tc>
          <w:tcPr>
            <w:tcW w:w="2981" w:type="dxa"/>
            <w:vMerge w:val="restart"/>
            <w:tcBorders>
              <w:top w:val="single" w:sz="4" w:space="0" w:color="auto"/>
              <w:left w:val="single" w:sz="4" w:space="0" w:color="auto"/>
            </w:tcBorders>
            <w:shd w:val="clear" w:color="auto" w:fill="FFFFFF"/>
            <w:vAlign w:val="center"/>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Показник</w:t>
            </w:r>
          </w:p>
        </w:tc>
        <w:tc>
          <w:tcPr>
            <w:tcW w:w="3240" w:type="dxa"/>
            <w:gridSpan w:val="2"/>
            <w:tcBorders>
              <w:top w:val="single" w:sz="4" w:space="0" w:color="auto"/>
              <w:left w:val="single" w:sz="4" w:space="0" w:color="auto"/>
            </w:tcBorders>
            <w:shd w:val="clear" w:color="auto" w:fill="FFFFFF"/>
            <w:vAlign w:val="center"/>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Мінімальна заробітна плата</w:t>
            </w:r>
          </w:p>
        </w:tc>
        <w:tc>
          <w:tcPr>
            <w:tcW w:w="3418" w:type="dxa"/>
            <w:gridSpan w:val="2"/>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Посадовий оклад працівника І тарифного розряду Єдиної тарифної сітки</w:t>
            </w:r>
          </w:p>
        </w:tc>
      </w:tr>
      <w:tr w:rsidR="0003691C" w:rsidRPr="0003691C" w:rsidTr="00D20870">
        <w:trPr>
          <w:trHeight w:hRule="exact" w:val="360"/>
          <w:jc w:val="center"/>
        </w:trPr>
        <w:tc>
          <w:tcPr>
            <w:tcW w:w="2981" w:type="dxa"/>
            <w:vMerge/>
            <w:tcBorders>
              <w:left w:val="single" w:sz="4" w:space="0" w:color="auto"/>
            </w:tcBorders>
            <w:shd w:val="clear" w:color="auto" w:fill="FFFFFF"/>
            <w:vAlign w:val="center"/>
          </w:tcPr>
          <w:p w:rsidR="0003691C" w:rsidRPr="0003691C" w:rsidRDefault="0003691C" w:rsidP="0003691C"/>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грн</w:t>
            </w:r>
          </w:p>
        </w:tc>
        <w:tc>
          <w:tcPr>
            <w:tcW w:w="22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темпи приросту, %</w:t>
            </w: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грн</w:t>
            </w:r>
          </w:p>
        </w:tc>
        <w:tc>
          <w:tcPr>
            <w:tcW w:w="2290"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темпи приросту, %</w:t>
            </w:r>
          </w:p>
        </w:tc>
      </w:tr>
      <w:tr w:rsidR="0003691C" w:rsidRPr="0003691C" w:rsidTr="00D20870">
        <w:trPr>
          <w:trHeight w:hRule="exact" w:val="326"/>
          <w:jc w:val="center"/>
        </w:trPr>
        <w:tc>
          <w:tcPr>
            <w:tcW w:w="2981"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січня 2022 року</w:t>
            </w:r>
          </w:p>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6 500</w:t>
            </w:r>
          </w:p>
        </w:tc>
        <w:tc>
          <w:tcPr>
            <w:tcW w:w="2270" w:type="dxa"/>
            <w:tcBorders>
              <w:top w:val="single" w:sz="4" w:space="0" w:color="auto"/>
              <w:left w:val="single" w:sz="4" w:space="0" w:color="auto"/>
            </w:tcBorders>
            <w:shd w:val="clear" w:color="auto" w:fill="FFFFFF"/>
          </w:tcPr>
          <w:p w:rsidR="0003691C" w:rsidRPr="0003691C" w:rsidRDefault="0003691C" w:rsidP="0003691C">
            <w:pPr>
              <w:rPr>
                <w:sz w:val="10"/>
                <w:szCs w:val="10"/>
              </w:rPr>
            </w:pP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2 893</w:t>
            </w:r>
          </w:p>
        </w:tc>
        <w:tc>
          <w:tcPr>
            <w:tcW w:w="2290" w:type="dxa"/>
            <w:tcBorders>
              <w:top w:val="single" w:sz="4" w:space="0" w:color="auto"/>
              <w:left w:val="single" w:sz="4" w:space="0" w:color="auto"/>
              <w:right w:val="single" w:sz="4" w:space="0" w:color="auto"/>
            </w:tcBorders>
            <w:shd w:val="clear" w:color="auto" w:fill="FFFFFF"/>
          </w:tcPr>
          <w:p w:rsidR="0003691C" w:rsidRPr="0003691C" w:rsidRDefault="0003691C" w:rsidP="0003691C">
            <w:pPr>
              <w:rPr>
                <w:sz w:val="10"/>
                <w:szCs w:val="10"/>
              </w:rPr>
            </w:pPr>
          </w:p>
        </w:tc>
      </w:tr>
      <w:tr w:rsidR="0003691C" w:rsidRPr="0003691C" w:rsidTr="00D20870">
        <w:trPr>
          <w:trHeight w:hRule="exact" w:val="326"/>
          <w:jc w:val="center"/>
        </w:trPr>
        <w:tc>
          <w:tcPr>
            <w:tcW w:w="2981"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жовтня 2022 року</w:t>
            </w:r>
          </w:p>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6 700</w:t>
            </w:r>
          </w:p>
        </w:tc>
        <w:tc>
          <w:tcPr>
            <w:tcW w:w="22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3,1</w:t>
            </w: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2 982</w:t>
            </w:r>
          </w:p>
        </w:tc>
        <w:tc>
          <w:tcPr>
            <w:tcW w:w="2290"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3,1</w:t>
            </w:r>
          </w:p>
        </w:tc>
      </w:tr>
      <w:tr w:rsidR="0003691C" w:rsidRPr="0003691C" w:rsidTr="00D20870">
        <w:trPr>
          <w:trHeight w:hRule="exact" w:val="317"/>
          <w:jc w:val="center"/>
        </w:trPr>
        <w:tc>
          <w:tcPr>
            <w:tcW w:w="2981"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січня 2023 року</w:t>
            </w:r>
          </w:p>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7 176</w:t>
            </w:r>
          </w:p>
        </w:tc>
        <w:tc>
          <w:tcPr>
            <w:tcW w:w="22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7,1</w:t>
            </w: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3 193</w:t>
            </w:r>
          </w:p>
        </w:tc>
        <w:tc>
          <w:tcPr>
            <w:tcW w:w="2290"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7,1</w:t>
            </w:r>
          </w:p>
        </w:tc>
      </w:tr>
      <w:tr w:rsidR="0003691C" w:rsidRPr="0003691C" w:rsidTr="00D20870">
        <w:trPr>
          <w:trHeight w:hRule="exact" w:val="336"/>
          <w:jc w:val="center"/>
        </w:trPr>
        <w:tc>
          <w:tcPr>
            <w:tcW w:w="2981"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січня 2024 року</w:t>
            </w:r>
          </w:p>
        </w:tc>
        <w:tc>
          <w:tcPr>
            <w:tcW w:w="97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7 665</w:t>
            </w:r>
          </w:p>
        </w:tc>
        <w:tc>
          <w:tcPr>
            <w:tcW w:w="227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6,8</w:t>
            </w:r>
          </w:p>
        </w:tc>
        <w:tc>
          <w:tcPr>
            <w:tcW w:w="1128"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3 411</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6,8</w:t>
            </w:r>
          </w:p>
        </w:tc>
      </w:tr>
    </w:tbl>
    <w:p w:rsidR="0003691C" w:rsidRDefault="0003691C" w:rsidP="0003691C">
      <w:pPr>
        <w:ind w:firstLine="601"/>
        <w:jc w:val="both"/>
        <w:rPr>
          <w:rFonts w:ascii="Times New Roman" w:eastAsia="Times New Roman" w:hAnsi="Times New Roman" w:cs="Times New Roman"/>
          <w:sz w:val="28"/>
          <w:szCs w:val="28"/>
        </w:rPr>
      </w:pPr>
    </w:p>
    <w:p w:rsidR="0058448F" w:rsidRDefault="0058448F" w:rsidP="0003691C">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Прогноз селищного бюджету </w:t>
      </w:r>
      <w:r w:rsidR="0003691C">
        <w:rPr>
          <w:rFonts w:ascii="Times New Roman" w:eastAsia="Times New Roman" w:hAnsi="Times New Roman" w:cs="Times New Roman"/>
          <w:sz w:val="28"/>
          <w:szCs w:val="28"/>
        </w:rPr>
        <w:t>Романівської</w:t>
      </w:r>
      <w:r w:rsidRPr="0058448F">
        <w:rPr>
          <w:rFonts w:ascii="Times New Roman" w:eastAsia="Times New Roman" w:hAnsi="Times New Roman" w:cs="Times New Roman"/>
          <w:sz w:val="28"/>
          <w:szCs w:val="28"/>
        </w:rPr>
        <w:t xml:space="preserve"> селищної ради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селищних цільових галузевих програм, що забезпечують вирішення нагальних потреб мешканців громади.</w:t>
      </w:r>
    </w:p>
    <w:p w:rsidR="00971ADD" w:rsidRPr="0058448F" w:rsidRDefault="00971ADD" w:rsidP="0003691C">
      <w:pPr>
        <w:ind w:firstLine="601"/>
        <w:jc w:val="both"/>
        <w:rPr>
          <w:rFonts w:ascii="Times New Roman" w:eastAsia="Times New Roman" w:hAnsi="Times New Roman" w:cs="Times New Roman"/>
          <w:color w:val="auto"/>
          <w:sz w:val="28"/>
          <w:szCs w:val="28"/>
        </w:rPr>
      </w:pPr>
    </w:p>
    <w:p w:rsidR="0058448F" w:rsidRPr="0058448F" w:rsidRDefault="00971ADD" w:rsidP="00971ADD">
      <w:pPr>
        <w:keepNext/>
        <w:keepLines/>
        <w:tabs>
          <w:tab w:val="left" w:pos="452"/>
        </w:tabs>
        <w:jc w:val="center"/>
        <w:outlineLvl w:val="1"/>
        <w:rPr>
          <w:rFonts w:ascii="Times New Roman" w:eastAsia="Times New Roman" w:hAnsi="Times New Roman" w:cs="Times New Roman"/>
          <w:b/>
          <w:bCs/>
          <w:color w:val="auto"/>
          <w:sz w:val="28"/>
          <w:szCs w:val="28"/>
        </w:rPr>
      </w:pPr>
      <w:r>
        <w:rPr>
          <w:rFonts w:ascii="Times New Roman" w:eastAsia="Times New Roman" w:hAnsi="Times New Roman" w:cs="Times New Roman"/>
          <w:b/>
          <w:bCs/>
          <w:sz w:val="28"/>
          <w:szCs w:val="28"/>
          <w:lang w:val="en-US"/>
        </w:rPr>
        <w:t>III</w:t>
      </w:r>
      <w:r w:rsidRPr="00971ADD">
        <w:rPr>
          <w:rFonts w:ascii="Times New Roman" w:eastAsia="Times New Roman" w:hAnsi="Times New Roman" w:cs="Times New Roman"/>
          <w:b/>
          <w:bCs/>
          <w:sz w:val="28"/>
          <w:szCs w:val="28"/>
          <w:lang w:val="ru-RU"/>
        </w:rPr>
        <w:t xml:space="preserve">. </w:t>
      </w:r>
      <w:r w:rsidR="0058448F" w:rsidRPr="0058448F">
        <w:rPr>
          <w:rFonts w:ascii="Times New Roman" w:eastAsia="Times New Roman" w:hAnsi="Times New Roman" w:cs="Times New Roman"/>
          <w:b/>
          <w:bCs/>
          <w:sz w:val="28"/>
          <w:szCs w:val="28"/>
        </w:rPr>
        <w:t>Загальні показники селищного бюджету</w:t>
      </w:r>
    </w:p>
    <w:p w:rsidR="0058448F" w:rsidRPr="0058448F" w:rsidRDefault="0058448F" w:rsidP="00971ADD">
      <w:pPr>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При плануванні дохідної частини селищного бюджету на 2022 -2024 роки враховано фактичне виконання дохідної частини селищного бюджету за 2020 р</w:t>
      </w:r>
      <w:r w:rsidR="0003691C">
        <w:rPr>
          <w:rFonts w:ascii="Times New Roman" w:eastAsia="Times New Roman" w:hAnsi="Times New Roman" w:cs="Times New Roman"/>
          <w:sz w:val="28"/>
          <w:szCs w:val="28"/>
        </w:rPr>
        <w:t>і</w:t>
      </w:r>
      <w:r w:rsidRPr="0058448F">
        <w:rPr>
          <w:rFonts w:ascii="Times New Roman" w:eastAsia="Times New Roman" w:hAnsi="Times New Roman" w:cs="Times New Roman"/>
          <w:sz w:val="28"/>
          <w:szCs w:val="28"/>
        </w:rPr>
        <w:t>к та планові показники 2021 року.</w:t>
      </w:r>
    </w:p>
    <w:p w:rsidR="0003691C" w:rsidRDefault="0058448F" w:rsidP="0003691C">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Прогноз селищного бюджету на 2022-2024 роки включає показники селищного бюджету за основними видами доходів, фінансування, видатків і кредитування, за бюджетними програмами, взаємовідносин селищного та інших місцевих бюджетів.</w:t>
      </w:r>
    </w:p>
    <w:p w:rsidR="0058448F" w:rsidRPr="0058448F" w:rsidRDefault="0058448F" w:rsidP="0003691C">
      <w:pPr>
        <w:ind w:firstLine="601"/>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До загального фонду селищного бюджету на 2022 - 2024 роки включено офіційні трансферти - базова дотація та освітня субвенція з державного бюджету,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субвенція з місцевого бюджету на здійснення переданих видатків у сфері освіти за рахунок коштів освітньої субвенції, інша субвенція з місцевого бюджету.</w:t>
      </w:r>
    </w:p>
    <w:p w:rsidR="00971ADD" w:rsidRDefault="0058448F" w:rsidP="00971ADD">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Загальні показники доходів і фінансування бюджету, повернення кредитів до бюджету, загальних граничних показників видатків бюджету та надання кредитів з бюджету наведено у додатку 1 до цього прогнозу.</w:t>
      </w:r>
    </w:p>
    <w:p w:rsidR="00971ADD" w:rsidRDefault="00971ADD" w:rsidP="00971ADD">
      <w:pPr>
        <w:ind w:firstLine="601"/>
        <w:jc w:val="both"/>
        <w:rPr>
          <w:rFonts w:ascii="Times New Roman" w:eastAsia="Times New Roman" w:hAnsi="Times New Roman" w:cs="Times New Roman"/>
          <w:color w:val="auto"/>
          <w:sz w:val="28"/>
          <w:szCs w:val="28"/>
        </w:rPr>
      </w:pPr>
    </w:p>
    <w:p w:rsidR="00D850A4" w:rsidRPr="001758E6" w:rsidRDefault="00D850A4" w:rsidP="00D850A4">
      <w:pPr>
        <w:ind w:firstLine="708"/>
        <w:jc w:val="center"/>
        <w:rPr>
          <w:rFonts w:ascii="Times New Roman" w:eastAsia="Times New Roman" w:hAnsi="Times New Roman" w:cs="Times New Roman"/>
          <w:color w:val="auto"/>
          <w:sz w:val="28"/>
          <w:szCs w:val="28"/>
        </w:rPr>
      </w:pPr>
      <w:r w:rsidRPr="001758E6">
        <w:rPr>
          <w:rFonts w:ascii="Times New Roman" w:eastAsia="Times New Roman" w:hAnsi="Times New Roman" w:cs="Times New Roman"/>
          <w:b/>
          <w:color w:val="auto"/>
          <w:sz w:val="28"/>
          <w:szCs w:val="28"/>
          <w:lang w:val="en-US"/>
        </w:rPr>
        <w:t>IV</w:t>
      </w:r>
      <w:r w:rsidRPr="001758E6">
        <w:rPr>
          <w:rFonts w:ascii="Times New Roman" w:eastAsia="Times New Roman" w:hAnsi="Times New Roman" w:cs="Times New Roman"/>
          <w:b/>
          <w:color w:val="auto"/>
          <w:sz w:val="28"/>
          <w:szCs w:val="28"/>
          <w:lang w:val="ru-RU"/>
        </w:rPr>
        <w:t xml:space="preserve">. </w:t>
      </w:r>
      <w:r w:rsidRPr="001758E6">
        <w:rPr>
          <w:rFonts w:ascii="Times New Roman" w:eastAsia="Times New Roman" w:hAnsi="Times New Roman" w:cs="Times New Roman"/>
          <w:b/>
          <w:bCs/>
          <w:sz w:val="28"/>
          <w:szCs w:val="28"/>
        </w:rPr>
        <w:t>Показники доходів селищного бюджету</w:t>
      </w:r>
    </w:p>
    <w:p w:rsidR="00D850A4" w:rsidRPr="001758E6" w:rsidRDefault="00D850A4" w:rsidP="00D850A4">
      <w:pPr>
        <w:ind w:firstLine="600"/>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Прогноз доходів селищного бюджету розроблено на підставі основних прогнозних показників економічного і соціального розвитку територіальної громади на 2021 рік з урахуванням основних напрямів реформування податкової системи, визначених у Податковому кодексі України зі змінами і доповненнями.</w:t>
      </w:r>
    </w:p>
    <w:p w:rsidR="00D850A4" w:rsidRPr="001758E6" w:rsidRDefault="00D850A4" w:rsidP="00D850A4">
      <w:pPr>
        <w:ind w:firstLine="600"/>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Подальша консолідація податкового законодавства у Податковому кодексі України дасть можливість уникнути безсистемного внесення змін до податкового законодавства, забезпечить його стабільність, сприятиме інвестиційно-інноваційному розвитку економіки, зниженню податкового навантаження на платників податків, системності надання податкових пільг, збільшенню надходжень до бюджету за рахунок розширення бази оподаткування та поліпшення адміністрування.</w:t>
      </w:r>
    </w:p>
    <w:p w:rsidR="00D850A4" w:rsidRPr="001758E6" w:rsidRDefault="00D850A4" w:rsidP="00D850A4">
      <w:pPr>
        <w:ind w:firstLine="600"/>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Прогноз доходів бюджету громади враховує поступову позитивну динаміку у розвитку основних бюджетоутворюючих галузей ради, у першу чергу сільського господарства та промисловості, прогнозні індекси споживчих цін; підвищення розміру мінімальної заробітної плати та доходів населення, а також тенденції надходжень окремих податків за останні роки, тощо.</w:t>
      </w:r>
    </w:p>
    <w:p w:rsidR="00D850A4" w:rsidRDefault="00D850A4" w:rsidP="00D850A4">
      <w:pPr>
        <w:ind w:firstLine="600"/>
        <w:jc w:val="both"/>
        <w:rPr>
          <w:rFonts w:ascii="Times New Roman" w:eastAsia="Times New Roman" w:hAnsi="Times New Roman" w:cs="Times New Roman"/>
          <w:sz w:val="28"/>
          <w:szCs w:val="28"/>
        </w:rPr>
      </w:pPr>
      <w:r w:rsidRPr="001758E6">
        <w:rPr>
          <w:rFonts w:ascii="Times New Roman" w:eastAsia="Times New Roman" w:hAnsi="Times New Roman" w:cs="Times New Roman"/>
          <w:sz w:val="28"/>
          <w:szCs w:val="28"/>
        </w:rPr>
        <w:t xml:space="preserve">Пріоритетними напрямами розвитку бюджетоутворюючих галузей селищної ради є: </w:t>
      </w:r>
    </w:p>
    <w:p w:rsidR="00D850A4" w:rsidRPr="001758E6" w:rsidRDefault="00D850A4" w:rsidP="00D850A4">
      <w:pPr>
        <w:ind w:firstLine="600"/>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Pr="001758E6">
        <w:rPr>
          <w:rFonts w:ascii="Times New Roman" w:eastAsia="Times New Roman" w:hAnsi="Times New Roman" w:cs="Times New Roman"/>
          <w:sz w:val="28"/>
          <w:szCs w:val="28"/>
        </w:rPr>
        <w:t>забезпечення надходжень до селищного бюджету з урахуванням позитивної динаміки у порівнянні з попередніми роками та недопущення негативних тенденцій у наповненні бюджету;</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сприяння випуску конкурентоспроможної продукції та збільшенню обсягів виробництва на підприємствах громади;</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активізація інноваційно-інвестиційної діяльності промислових підприємств;</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проведення оновлення та техніко-технологічного переоснащення підприємств агропромислового комплексу;</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сприяння залученню забудовниками інвестиційних ресурсів для будівництва житла та реалізації інноваційно-інвестиційних проектів, що мають будівельну складову;</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поліпшення бізнес-клімату, створення сприятливих умов для стабільної та ефективної роботи суб’єктів підприємництва.</w:t>
      </w:r>
    </w:p>
    <w:p w:rsidR="00D850A4" w:rsidRPr="00EB184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системне залучення у розвиток громади коштів міжнародних фінансових організацій (у т.ч. на грантовій основі), проектів міжнародної технічної допомоги, пільгових кредитів та кредитів із грантовою часткою.</w:t>
      </w:r>
    </w:p>
    <w:p w:rsidR="00D850A4" w:rsidRPr="00EB1846" w:rsidRDefault="00D850A4" w:rsidP="00D850A4">
      <w:pPr>
        <w:widowControl/>
        <w:ind w:firstLine="600"/>
        <w:jc w:val="both"/>
        <w:rPr>
          <w:rFonts w:ascii="Times New Roman" w:eastAsia="Times New Roman" w:hAnsi="Times New Roman" w:cs="Times New Roman"/>
          <w:color w:val="auto"/>
          <w:sz w:val="28"/>
          <w:szCs w:val="28"/>
          <w:lang w:eastAsia="ru-RU" w:bidi="ar-SA"/>
        </w:rPr>
      </w:pPr>
      <w:r w:rsidRPr="00EB1846">
        <w:rPr>
          <w:rFonts w:ascii="Times New Roman" w:eastAsia="Times New Roman" w:hAnsi="Times New Roman" w:cs="Times New Roman"/>
          <w:sz w:val="28"/>
          <w:szCs w:val="28"/>
        </w:rPr>
        <w:t xml:space="preserve">Найбільшими платниками податків до бюджету селищної ради є: </w:t>
      </w:r>
      <w:r w:rsidRPr="00EB1846">
        <w:rPr>
          <w:rFonts w:ascii="Times New Roman" w:eastAsia="Times New Roman" w:hAnsi="Times New Roman" w:cs="Times New Roman"/>
          <w:color w:val="auto"/>
          <w:sz w:val="28"/>
          <w:szCs w:val="28"/>
          <w:lang w:eastAsia="ru-RU" w:bidi="ar-SA"/>
        </w:rPr>
        <w:t>відділ освіти,</w:t>
      </w:r>
      <w:r w:rsidRPr="007C5FF4">
        <w:rPr>
          <w:rFonts w:ascii="Times New Roman" w:eastAsia="Times New Roman" w:hAnsi="Times New Roman" w:cs="Times New Roman"/>
          <w:color w:val="auto"/>
          <w:sz w:val="28"/>
          <w:szCs w:val="28"/>
          <w:lang w:eastAsia="ru-RU" w:bidi="ar-SA"/>
        </w:rPr>
        <w:t xml:space="preserve"> </w:t>
      </w:r>
      <w:r w:rsidRPr="00EB1846">
        <w:rPr>
          <w:rFonts w:ascii="Times New Roman" w:eastAsia="Times New Roman" w:hAnsi="Times New Roman" w:cs="Times New Roman"/>
          <w:color w:val="auto"/>
          <w:sz w:val="28"/>
          <w:szCs w:val="28"/>
          <w:lang w:eastAsia="ru-RU" w:bidi="ar-SA"/>
        </w:rPr>
        <w:t>ТОВ «Вівад 09», ДП «Романівський лісгосп АПК «ЖОКАП «Житомироблагроліс», ДП «Бердичівський лісгосп», філія «Романівська» ТОВ СП «Нібулон», КНП «Романівська лікарня», ТОВ «Єлисейські поля».</w:t>
      </w:r>
    </w:p>
    <w:p w:rsidR="00D850A4" w:rsidRPr="00EB1846" w:rsidRDefault="00D850A4" w:rsidP="00D850A4">
      <w:pPr>
        <w:ind w:firstLine="600"/>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Основними заходами, які необхідно здійснити для досягнення поставлених цілей, мають бути:</w:t>
      </w:r>
    </w:p>
    <w:p w:rsidR="00D850A4" w:rsidRPr="00E77A10" w:rsidRDefault="00D850A4" w:rsidP="00E77A10">
      <w:pPr>
        <w:pStyle w:val="aa"/>
        <w:numPr>
          <w:ilvl w:val="0"/>
          <w:numId w:val="5"/>
        </w:numPr>
        <w:tabs>
          <w:tab w:val="left" w:pos="567"/>
        </w:tabs>
        <w:ind w:left="0"/>
        <w:jc w:val="both"/>
        <w:rPr>
          <w:rFonts w:ascii="Times New Roman" w:eastAsia="Times New Roman" w:hAnsi="Times New Roman" w:cs="Times New Roman"/>
          <w:color w:val="auto"/>
          <w:sz w:val="28"/>
          <w:szCs w:val="28"/>
        </w:rPr>
      </w:pPr>
      <w:r w:rsidRPr="00E77A10">
        <w:rPr>
          <w:rFonts w:ascii="Times New Roman" w:eastAsia="Times New Roman" w:hAnsi="Times New Roman" w:cs="Times New Roman"/>
          <w:sz w:val="28"/>
          <w:szCs w:val="28"/>
        </w:rPr>
        <w:t>пошук додаткових шляхів наповнення селищного бюджету, зокрема шляхом руйнування існуючих схем мінімізації сплати податків, забезпечення беззбиткової діяльності підприємств та створення рівних умов для усіх суб’єктів господарювання;</w:t>
      </w:r>
    </w:p>
    <w:p w:rsidR="00D850A4" w:rsidRPr="00EB1846" w:rsidRDefault="00D850A4" w:rsidP="00E77A10">
      <w:pPr>
        <w:numPr>
          <w:ilvl w:val="0"/>
          <w:numId w:val="5"/>
        </w:numPr>
        <w:tabs>
          <w:tab w:val="left" w:pos="426"/>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забезпечення ефективного і раціонального підходу до використання земельних ресурсів та комунального майна як засобу збільшення надходжень до бюджету громади;</w:t>
      </w:r>
    </w:p>
    <w:p w:rsidR="00D850A4" w:rsidRPr="00EB1846" w:rsidRDefault="00D850A4" w:rsidP="00E77A10">
      <w:pPr>
        <w:numPr>
          <w:ilvl w:val="0"/>
          <w:numId w:val="5"/>
        </w:numPr>
        <w:tabs>
          <w:tab w:val="left" w:pos="426"/>
          <w:tab w:val="left" w:pos="929"/>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організація своєчасного затвердження та перегляду ставок місцевих податків і зборів згідно з чинним законодавством.</w:t>
      </w:r>
    </w:p>
    <w:p w:rsidR="00D850A4" w:rsidRPr="00EB1846" w:rsidRDefault="00D850A4" w:rsidP="00E77A10">
      <w:pPr>
        <w:tabs>
          <w:tab w:val="left" w:pos="426"/>
        </w:tabs>
        <w:ind w:firstLine="600"/>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Основні проблеми та питання, які потребують вирішення для досягнення поставлених цілей:</w:t>
      </w:r>
    </w:p>
    <w:p w:rsidR="00D850A4" w:rsidRPr="00EB1846" w:rsidRDefault="00D850A4" w:rsidP="00E77A10">
      <w:pPr>
        <w:numPr>
          <w:ilvl w:val="0"/>
          <w:numId w:val="5"/>
        </w:numPr>
        <w:tabs>
          <w:tab w:val="left" w:pos="426"/>
          <w:tab w:val="left" w:pos="929"/>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виконання запланованих завдань з надходження податків і зборів (обов’язкових платежів) до селищного бюджету;</w:t>
      </w:r>
    </w:p>
    <w:p w:rsidR="00D850A4" w:rsidRPr="00EB1846" w:rsidRDefault="00D850A4" w:rsidP="007B2086">
      <w:pPr>
        <w:numPr>
          <w:ilvl w:val="0"/>
          <w:numId w:val="5"/>
        </w:numPr>
        <w:tabs>
          <w:tab w:val="left" w:pos="426"/>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наявність податкового боргу за податковими зобов’язаннями в місцевий бюджет;</w:t>
      </w:r>
    </w:p>
    <w:p w:rsidR="00D850A4" w:rsidRPr="00EB1846" w:rsidRDefault="00D850A4" w:rsidP="00E77A10">
      <w:pPr>
        <w:numPr>
          <w:ilvl w:val="0"/>
          <w:numId w:val="5"/>
        </w:numPr>
        <w:tabs>
          <w:tab w:val="left" w:pos="426"/>
          <w:tab w:val="left" w:pos="929"/>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наявність найважливіших для подальшого соціально-економічного розвитку території проблем, розв’язання яких не може бути забезпечене лише за рахунок коштів місцевого бюджету, оскільки потребує значних інвестицій і підтримки на державному рівні.</w:t>
      </w:r>
    </w:p>
    <w:p w:rsidR="00D850A4" w:rsidRPr="00EB1846" w:rsidRDefault="00D850A4" w:rsidP="00D850A4">
      <w:pPr>
        <w:ind w:firstLine="600"/>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Основним результатом, який планується досягти, є забезпечення зростання дохідної частини селищного бюджету за рахунок активізації підприємницького потенціалу, зниження частки тіньової економіки.</w:t>
      </w:r>
    </w:p>
    <w:p w:rsidR="00D850A4" w:rsidRPr="009F569D" w:rsidRDefault="00D850A4" w:rsidP="00D850A4">
      <w:pPr>
        <w:ind w:firstLine="600"/>
        <w:jc w:val="both"/>
        <w:rPr>
          <w:rFonts w:ascii="Times New Roman" w:eastAsia="Times New Roman" w:hAnsi="Times New Roman" w:cs="Times New Roman"/>
          <w:color w:val="auto"/>
          <w:sz w:val="28"/>
          <w:szCs w:val="28"/>
          <w:lang w:val="ru-RU"/>
        </w:rPr>
      </w:pPr>
      <w:r w:rsidRPr="009F569D">
        <w:rPr>
          <w:rFonts w:ascii="Times New Roman" w:eastAsia="Times New Roman" w:hAnsi="Times New Roman" w:cs="Times New Roman"/>
          <w:sz w:val="28"/>
          <w:szCs w:val="28"/>
        </w:rPr>
        <w:t xml:space="preserve">Прогнозний обсяг доходів загального фонду селищного бюджету (без урахування трансфертів) на 2022 рік становить </w:t>
      </w:r>
      <w:r w:rsidRPr="009F569D">
        <w:rPr>
          <w:rFonts w:ascii="Times New Roman" w:eastAsia="Times New Roman" w:hAnsi="Times New Roman" w:cs="Times New Roman"/>
          <w:sz w:val="28"/>
          <w:szCs w:val="28"/>
          <w:lang w:val="ru-RU"/>
        </w:rPr>
        <w:t>75,0</w:t>
      </w:r>
      <w:r w:rsidRPr="009F569D">
        <w:rPr>
          <w:rFonts w:ascii="Times New Roman" w:eastAsia="Times New Roman" w:hAnsi="Times New Roman" w:cs="Times New Roman"/>
          <w:sz w:val="28"/>
          <w:szCs w:val="28"/>
        </w:rPr>
        <w:t xml:space="preserve"> млн.</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або </w:t>
      </w:r>
      <w:r w:rsidRPr="009F569D">
        <w:rPr>
          <w:rFonts w:ascii="Times New Roman" w:eastAsia="Times New Roman" w:hAnsi="Times New Roman" w:cs="Times New Roman"/>
          <w:sz w:val="28"/>
          <w:szCs w:val="28"/>
          <w:lang w:val="ru-RU"/>
        </w:rPr>
        <w:t>118,7</w:t>
      </w:r>
      <w:r w:rsidRPr="009F569D">
        <w:rPr>
          <w:rFonts w:ascii="Times New Roman" w:eastAsia="Times New Roman" w:hAnsi="Times New Roman" w:cs="Times New Roman"/>
          <w:sz w:val="28"/>
          <w:szCs w:val="28"/>
        </w:rPr>
        <w:t xml:space="preserve"> % до показників затверджених на 2021 рік, у 2023 році - </w:t>
      </w:r>
      <w:r w:rsidRPr="009F569D">
        <w:rPr>
          <w:rFonts w:ascii="Times New Roman" w:eastAsia="Times New Roman" w:hAnsi="Times New Roman" w:cs="Times New Roman"/>
          <w:sz w:val="28"/>
          <w:szCs w:val="28"/>
          <w:lang w:val="ru-RU"/>
        </w:rPr>
        <w:t>80,0</w:t>
      </w:r>
      <w:r w:rsidRPr="009F569D">
        <w:rPr>
          <w:rFonts w:ascii="Times New Roman" w:eastAsia="Times New Roman" w:hAnsi="Times New Roman" w:cs="Times New Roman"/>
          <w:sz w:val="28"/>
          <w:szCs w:val="28"/>
        </w:rPr>
        <w:t xml:space="preserve"> млн.</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зростання доходів загального фонду до 2022 року складе </w:t>
      </w:r>
      <w:r w:rsidRPr="009F569D">
        <w:rPr>
          <w:rFonts w:ascii="Times New Roman" w:eastAsia="Times New Roman" w:hAnsi="Times New Roman" w:cs="Times New Roman"/>
          <w:sz w:val="28"/>
          <w:szCs w:val="28"/>
          <w:lang w:val="ru-RU"/>
        </w:rPr>
        <w:t>106,7</w:t>
      </w:r>
      <w:r w:rsidRPr="009F569D">
        <w:rPr>
          <w:rFonts w:ascii="Times New Roman" w:eastAsia="Times New Roman" w:hAnsi="Times New Roman" w:cs="Times New Roman"/>
          <w:sz w:val="28"/>
          <w:szCs w:val="28"/>
        </w:rPr>
        <w:t xml:space="preserve"> %, у 2024 році </w:t>
      </w:r>
      <w:r w:rsidRPr="009F569D">
        <w:rPr>
          <w:rFonts w:ascii="Times New Roman" w:eastAsia="Times New Roman" w:hAnsi="Times New Roman" w:cs="Times New Roman"/>
          <w:sz w:val="28"/>
          <w:szCs w:val="28"/>
          <w:lang w:val="ru-RU"/>
        </w:rPr>
        <w:t xml:space="preserve">84,0 млн. </w:t>
      </w:r>
      <w:r w:rsidRPr="009F569D">
        <w:rPr>
          <w:rFonts w:ascii="Times New Roman" w:eastAsia="Times New Roman" w:hAnsi="Times New Roman" w:cs="Times New Roman"/>
          <w:sz w:val="28"/>
          <w:szCs w:val="28"/>
        </w:rPr>
        <w:t xml:space="preserve">грн., ріст доходної частини </w:t>
      </w:r>
      <w:r w:rsidRPr="009F569D">
        <w:rPr>
          <w:rFonts w:ascii="Times New Roman" w:eastAsia="Times New Roman" w:hAnsi="Times New Roman" w:cs="Times New Roman"/>
          <w:sz w:val="28"/>
          <w:szCs w:val="28"/>
          <w:lang w:val="ru-RU"/>
        </w:rPr>
        <w:t>105,0 %.</w:t>
      </w:r>
    </w:p>
    <w:p w:rsidR="00D850A4" w:rsidRPr="009F569D" w:rsidRDefault="00D850A4" w:rsidP="00D850A4">
      <w:pPr>
        <w:ind w:firstLine="600"/>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 xml:space="preserve">Основним джерелом доходів загального фонду селищного бюджету (понад 60 %) є податок на доходи фізичних осіб. Надходження до бюджету даного податку прогнозуються в сумі </w:t>
      </w:r>
      <w:r w:rsidRPr="009F569D">
        <w:rPr>
          <w:rFonts w:ascii="Times New Roman" w:eastAsia="Times New Roman" w:hAnsi="Times New Roman" w:cs="Times New Roman"/>
          <w:sz w:val="28"/>
          <w:szCs w:val="28"/>
          <w:lang w:val="ru-RU"/>
        </w:rPr>
        <w:t>51131,6</w:t>
      </w:r>
      <w:r w:rsidRPr="009F569D">
        <w:rPr>
          <w:rFonts w:ascii="Times New Roman" w:eastAsia="Times New Roman" w:hAnsi="Times New Roman" w:cs="Times New Roman"/>
          <w:sz w:val="28"/>
          <w:szCs w:val="28"/>
        </w:rPr>
        <w:t xml:space="preserve"> тис.</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у 2022 році, </w:t>
      </w:r>
      <w:r w:rsidRPr="009F569D">
        <w:rPr>
          <w:rFonts w:ascii="Times New Roman" w:eastAsia="Times New Roman" w:hAnsi="Times New Roman" w:cs="Times New Roman"/>
          <w:sz w:val="28"/>
          <w:szCs w:val="28"/>
          <w:lang w:val="ru-RU"/>
        </w:rPr>
        <w:t>55268,0</w:t>
      </w:r>
      <w:r w:rsidRPr="009F569D">
        <w:rPr>
          <w:rFonts w:ascii="Times New Roman" w:eastAsia="Times New Roman" w:hAnsi="Times New Roman" w:cs="Times New Roman"/>
          <w:sz w:val="28"/>
          <w:szCs w:val="28"/>
        </w:rPr>
        <w:t xml:space="preserve"> тис.</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у 2023 році та </w:t>
      </w:r>
      <w:r w:rsidRPr="009F569D">
        <w:rPr>
          <w:rFonts w:ascii="Times New Roman" w:eastAsia="Times New Roman" w:hAnsi="Times New Roman" w:cs="Times New Roman"/>
          <w:sz w:val="28"/>
          <w:szCs w:val="28"/>
          <w:lang w:val="ru-RU"/>
        </w:rPr>
        <w:t xml:space="preserve">57875,0 </w:t>
      </w:r>
      <w:r w:rsidRPr="009F569D">
        <w:rPr>
          <w:rFonts w:ascii="Times New Roman" w:eastAsia="Times New Roman" w:hAnsi="Times New Roman" w:cs="Times New Roman"/>
          <w:sz w:val="28"/>
          <w:szCs w:val="28"/>
        </w:rPr>
        <w:t>тис.</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грн. у 2024 році.</w:t>
      </w:r>
    </w:p>
    <w:p w:rsidR="00D850A4" w:rsidRPr="009F569D" w:rsidRDefault="00D850A4" w:rsidP="00E77A10">
      <w:pPr>
        <w:tabs>
          <w:tab w:val="left" w:pos="426"/>
        </w:tabs>
        <w:ind w:firstLine="600"/>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Фактори впливу на збільшення надходжень платежів до селищного бюджету є:</w:t>
      </w:r>
    </w:p>
    <w:p w:rsidR="00D850A4" w:rsidRPr="009F569D" w:rsidRDefault="00D850A4" w:rsidP="00E77A10">
      <w:pPr>
        <w:numPr>
          <w:ilvl w:val="0"/>
          <w:numId w:val="5"/>
        </w:numPr>
        <w:tabs>
          <w:tab w:val="left" w:pos="426"/>
          <w:tab w:val="left" w:pos="809"/>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збільшення кількості робочих місць;</w:t>
      </w:r>
    </w:p>
    <w:p w:rsidR="00D850A4" w:rsidRPr="009F569D" w:rsidRDefault="00D850A4" w:rsidP="00E77A10">
      <w:pPr>
        <w:numPr>
          <w:ilvl w:val="0"/>
          <w:numId w:val="5"/>
        </w:numPr>
        <w:tabs>
          <w:tab w:val="left" w:pos="426"/>
          <w:tab w:val="left" w:pos="809"/>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своєчасна виплата заробітної плати;</w:t>
      </w:r>
    </w:p>
    <w:p w:rsidR="00D850A4" w:rsidRPr="009F569D" w:rsidRDefault="00D850A4" w:rsidP="00E77A10">
      <w:pPr>
        <w:numPr>
          <w:ilvl w:val="0"/>
          <w:numId w:val="5"/>
        </w:numPr>
        <w:tabs>
          <w:tab w:val="left" w:pos="426"/>
          <w:tab w:val="left" w:pos="809"/>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сприятливий клімат для інвестицій в економіку територіальної громади;</w:t>
      </w:r>
    </w:p>
    <w:p w:rsidR="00D850A4" w:rsidRPr="009F569D" w:rsidRDefault="00D850A4" w:rsidP="00E77A10">
      <w:pPr>
        <w:numPr>
          <w:ilvl w:val="0"/>
          <w:numId w:val="5"/>
        </w:numPr>
        <w:tabs>
          <w:tab w:val="left" w:pos="426"/>
          <w:tab w:val="left" w:pos="775"/>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проведення заходів детінізації відносин у сфері зайнятості населення, легалізації трудових відносин та виплати заробітної плати, дотримання суб’єктами господарювання вимог законодавства щодо мінімального розміру заробітної плати;</w:t>
      </w:r>
    </w:p>
    <w:p w:rsidR="00D850A4" w:rsidRPr="009F569D" w:rsidRDefault="00E77A10" w:rsidP="00E77A10">
      <w:pPr>
        <w:tabs>
          <w:tab w:val="left" w:pos="426"/>
        </w:tabs>
        <w:spacing w:after="280"/>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lang w:val="ru-RU"/>
        </w:rPr>
        <w:t xml:space="preserve">-  </w:t>
      </w:r>
      <w:r w:rsidR="00D850A4" w:rsidRPr="009F569D">
        <w:rPr>
          <w:rFonts w:ascii="Times New Roman" w:eastAsia="Times New Roman" w:hAnsi="Times New Roman" w:cs="Times New Roman"/>
          <w:sz w:val="28"/>
          <w:szCs w:val="28"/>
        </w:rPr>
        <w:t>погашення податкових зобов’язань перед бюджетом.</w:t>
      </w:r>
    </w:p>
    <w:p w:rsidR="00D850A4" w:rsidRPr="001E23F9" w:rsidRDefault="00D850A4" w:rsidP="00D850A4">
      <w:pPr>
        <w:ind w:firstLine="520"/>
        <w:jc w:val="both"/>
        <w:rPr>
          <w:rFonts w:ascii="Times New Roman" w:eastAsia="Times New Roman" w:hAnsi="Times New Roman" w:cs="Times New Roman"/>
          <w:color w:val="auto"/>
          <w:sz w:val="28"/>
          <w:szCs w:val="28"/>
        </w:rPr>
      </w:pPr>
      <w:r w:rsidRPr="001E23F9">
        <w:rPr>
          <w:rFonts w:ascii="Times New Roman" w:eastAsia="Times New Roman" w:hAnsi="Times New Roman" w:cs="Times New Roman"/>
          <w:sz w:val="28"/>
          <w:szCs w:val="28"/>
        </w:rPr>
        <w:t xml:space="preserve">Прогнозний обсяг доходів спеціального фонду селищного бюджету (без урахування трансфертів) на 2022 рік складає </w:t>
      </w:r>
      <w:r w:rsidRPr="001E23F9">
        <w:rPr>
          <w:rFonts w:ascii="Times New Roman" w:eastAsia="Times New Roman" w:hAnsi="Times New Roman" w:cs="Times New Roman"/>
          <w:sz w:val="28"/>
          <w:szCs w:val="28"/>
          <w:lang w:val="ru-RU"/>
        </w:rPr>
        <w:t xml:space="preserve">1044,6 </w:t>
      </w:r>
      <w:r w:rsidRPr="001E23F9">
        <w:rPr>
          <w:rFonts w:ascii="Times New Roman" w:eastAsia="Times New Roman" w:hAnsi="Times New Roman" w:cs="Times New Roman"/>
          <w:sz w:val="28"/>
          <w:szCs w:val="28"/>
        </w:rPr>
        <w:t>тис.</w:t>
      </w:r>
      <w:r w:rsidRPr="001E23F9">
        <w:rPr>
          <w:rFonts w:ascii="Times New Roman" w:eastAsia="Times New Roman" w:hAnsi="Times New Roman" w:cs="Times New Roman"/>
          <w:sz w:val="28"/>
          <w:szCs w:val="28"/>
          <w:lang w:val="ru-RU"/>
        </w:rPr>
        <w:t xml:space="preserve"> </w:t>
      </w:r>
      <w:r w:rsidRPr="001E23F9">
        <w:rPr>
          <w:rFonts w:ascii="Times New Roman" w:eastAsia="Times New Roman" w:hAnsi="Times New Roman" w:cs="Times New Roman"/>
          <w:sz w:val="28"/>
          <w:szCs w:val="28"/>
        </w:rPr>
        <w:t xml:space="preserve">грн., на 2023 рік – </w:t>
      </w:r>
      <w:r w:rsidRPr="001E23F9">
        <w:rPr>
          <w:rFonts w:ascii="Times New Roman" w:eastAsia="Times New Roman" w:hAnsi="Times New Roman" w:cs="Times New Roman"/>
          <w:sz w:val="28"/>
          <w:szCs w:val="28"/>
          <w:lang w:val="ru-RU"/>
        </w:rPr>
        <w:t>1127,3</w:t>
      </w:r>
      <w:r w:rsidRPr="001E23F9">
        <w:rPr>
          <w:rFonts w:ascii="Times New Roman" w:eastAsia="Times New Roman" w:hAnsi="Times New Roman" w:cs="Times New Roman"/>
          <w:sz w:val="28"/>
          <w:szCs w:val="28"/>
        </w:rPr>
        <w:t xml:space="preserve"> тис.</w:t>
      </w:r>
      <w:r w:rsidRPr="001E23F9">
        <w:rPr>
          <w:rFonts w:ascii="Times New Roman" w:eastAsia="Times New Roman" w:hAnsi="Times New Roman" w:cs="Times New Roman"/>
          <w:sz w:val="28"/>
          <w:szCs w:val="28"/>
          <w:lang w:val="ru-RU"/>
        </w:rPr>
        <w:t xml:space="preserve"> </w:t>
      </w:r>
      <w:r w:rsidRPr="001E23F9">
        <w:rPr>
          <w:rFonts w:ascii="Times New Roman" w:eastAsia="Times New Roman" w:hAnsi="Times New Roman" w:cs="Times New Roman"/>
          <w:sz w:val="28"/>
          <w:szCs w:val="28"/>
        </w:rPr>
        <w:t xml:space="preserve">грн., на 2024 рік – </w:t>
      </w:r>
      <w:r w:rsidRPr="001E23F9">
        <w:rPr>
          <w:rFonts w:ascii="Times New Roman" w:eastAsia="Times New Roman" w:hAnsi="Times New Roman" w:cs="Times New Roman"/>
          <w:sz w:val="28"/>
          <w:szCs w:val="28"/>
          <w:lang w:val="ru-RU"/>
        </w:rPr>
        <w:t>1237,5</w:t>
      </w:r>
      <w:r w:rsidRPr="001E23F9">
        <w:rPr>
          <w:rFonts w:ascii="Times New Roman" w:eastAsia="Times New Roman" w:hAnsi="Times New Roman" w:cs="Times New Roman"/>
          <w:sz w:val="28"/>
          <w:szCs w:val="28"/>
        </w:rPr>
        <w:t xml:space="preserve"> тис.</w:t>
      </w:r>
      <w:r w:rsidRPr="001E23F9">
        <w:rPr>
          <w:rFonts w:ascii="Times New Roman" w:eastAsia="Times New Roman" w:hAnsi="Times New Roman" w:cs="Times New Roman"/>
          <w:sz w:val="28"/>
          <w:szCs w:val="28"/>
          <w:lang w:val="ru-RU"/>
        </w:rPr>
        <w:t xml:space="preserve"> </w:t>
      </w:r>
      <w:r w:rsidRPr="001E23F9">
        <w:rPr>
          <w:rFonts w:ascii="Times New Roman" w:eastAsia="Times New Roman" w:hAnsi="Times New Roman" w:cs="Times New Roman"/>
          <w:sz w:val="28"/>
          <w:szCs w:val="28"/>
        </w:rPr>
        <w:t>грн.</w:t>
      </w:r>
    </w:p>
    <w:p w:rsidR="00D850A4" w:rsidRPr="0058448F" w:rsidRDefault="00D850A4" w:rsidP="00D850A4">
      <w:pPr>
        <w:spacing w:after="580"/>
        <w:ind w:firstLine="600"/>
        <w:rPr>
          <w:rFonts w:ascii="Times New Roman" w:eastAsia="Times New Roman" w:hAnsi="Times New Roman" w:cs="Times New Roman"/>
          <w:color w:val="auto"/>
          <w:sz w:val="28"/>
          <w:szCs w:val="28"/>
        </w:rPr>
      </w:pPr>
      <w:r w:rsidRPr="001E23F9">
        <w:rPr>
          <w:rFonts w:ascii="Times New Roman" w:eastAsia="Times New Roman" w:hAnsi="Times New Roman" w:cs="Times New Roman"/>
          <w:sz w:val="28"/>
          <w:szCs w:val="28"/>
        </w:rPr>
        <w:t xml:space="preserve">Прогноз показників селищного бюджету </w:t>
      </w:r>
      <w:r w:rsidRPr="001E23F9">
        <w:rPr>
          <w:rFonts w:ascii="Times New Roman" w:eastAsia="Times New Roman" w:hAnsi="Times New Roman" w:cs="Times New Roman"/>
          <w:sz w:val="28"/>
          <w:szCs w:val="28"/>
          <w:lang w:val="ru-RU"/>
        </w:rPr>
        <w:t>Роман</w:t>
      </w:r>
      <w:r w:rsidRPr="001E23F9">
        <w:rPr>
          <w:rFonts w:ascii="Times New Roman" w:eastAsia="Times New Roman" w:hAnsi="Times New Roman" w:cs="Times New Roman"/>
          <w:sz w:val="28"/>
          <w:szCs w:val="28"/>
        </w:rPr>
        <w:t>івської селищної ради на 2022 - 2024 роки за основними джерелами доходів у розрізі фондів наведено у додатку 2 до цього прогнозу.</w:t>
      </w:r>
    </w:p>
    <w:p w:rsidR="00971ADD" w:rsidRDefault="00971ADD" w:rsidP="00971ADD">
      <w:pPr>
        <w:keepNext/>
        <w:keepLines/>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en-US"/>
        </w:rPr>
        <w:t>V</w:t>
      </w:r>
      <w:r w:rsidRPr="00971ADD">
        <w:rPr>
          <w:rFonts w:ascii="Times New Roman" w:eastAsia="Times New Roman" w:hAnsi="Times New Roman" w:cs="Times New Roman"/>
          <w:b/>
          <w:bCs/>
          <w:sz w:val="28"/>
          <w:szCs w:val="28"/>
          <w:lang w:val="ru-RU"/>
        </w:rPr>
        <w:t>.</w:t>
      </w:r>
      <w:r w:rsidR="0058448F" w:rsidRPr="00971ADD">
        <w:rPr>
          <w:rFonts w:ascii="Times New Roman" w:eastAsia="Times New Roman" w:hAnsi="Times New Roman" w:cs="Times New Roman"/>
          <w:b/>
          <w:bCs/>
          <w:sz w:val="28"/>
          <w:szCs w:val="28"/>
        </w:rPr>
        <w:t>Показники фінансування бюджету, показники місцевого боргу, гарантованого</w:t>
      </w:r>
      <w:r w:rsidRPr="00971ADD">
        <w:rPr>
          <w:rFonts w:ascii="Times New Roman" w:eastAsia="Times New Roman" w:hAnsi="Times New Roman" w:cs="Times New Roman"/>
          <w:b/>
          <w:bCs/>
          <w:sz w:val="28"/>
          <w:szCs w:val="28"/>
          <w:lang w:val="ru-RU"/>
        </w:rPr>
        <w:t xml:space="preserve"> </w:t>
      </w:r>
      <w:r w:rsidR="0058448F" w:rsidRPr="00971ADD">
        <w:rPr>
          <w:rFonts w:ascii="Times New Roman" w:eastAsia="Times New Roman" w:hAnsi="Times New Roman" w:cs="Times New Roman"/>
          <w:b/>
          <w:bCs/>
          <w:sz w:val="28"/>
          <w:szCs w:val="28"/>
        </w:rPr>
        <w:t xml:space="preserve">територіальною громадою боргу </w:t>
      </w:r>
    </w:p>
    <w:p w:rsidR="0058448F" w:rsidRPr="00971ADD" w:rsidRDefault="0058448F" w:rsidP="00971ADD">
      <w:pPr>
        <w:keepNext/>
        <w:keepLines/>
        <w:jc w:val="center"/>
        <w:outlineLvl w:val="1"/>
        <w:rPr>
          <w:rFonts w:ascii="Times New Roman" w:eastAsia="Times New Roman" w:hAnsi="Times New Roman" w:cs="Times New Roman"/>
          <w:b/>
          <w:bCs/>
          <w:color w:val="auto"/>
          <w:sz w:val="28"/>
          <w:szCs w:val="28"/>
        </w:rPr>
      </w:pPr>
      <w:r w:rsidRPr="00971ADD">
        <w:rPr>
          <w:rFonts w:ascii="Times New Roman" w:eastAsia="Times New Roman" w:hAnsi="Times New Roman" w:cs="Times New Roman"/>
          <w:b/>
          <w:bCs/>
          <w:sz w:val="28"/>
          <w:szCs w:val="28"/>
        </w:rPr>
        <w:t>та надання місцевих гарантій</w:t>
      </w:r>
    </w:p>
    <w:p w:rsidR="0058448F" w:rsidRPr="0058448F" w:rsidRDefault="0058448F" w:rsidP="00971ADD">
      <w:pPr>
        <w:ind w:firstLine="6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На стадії прогнозу та в ході внесення змін до селищного бюджету згідно з положеннями Бюджетного кодексу України в селищному бюджеті можуть виникати:</w:t>
      </w:r>
    </w:p>
    <w:p w:rsidR="0058448F" w:rsidRPr="0058448F" w:rsidRDefault="0058448F" w:rsidP="008141E4">
      <w:pPr>
        <w:ind w:firstLine="42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дефіцит за загальним фондом у разі використання вільного залишку бюджетних коштів; профіцит за загальним фондом у разі спрямування до бюджету розвитку коштів із загального фонду бюджету;</w:t>
      </w:r>
    </w:p>
    <w:p w:rsidR="0058448F" w:rsidRPr="0058448F" w:rsidRDefault="0058448F" w:rsidP="00971ADD">
      <w:pPr>
        <w:spacing w:line="233" w:lineRule="auto"/>
        <w:ind w:firstLine="52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дефіцит за спеціальним фондом у разі залучення до бюджету розвитку коштів із запозичень, коштів із загального фонду бюджету, а також у разі використання залишків коштів спеціального фонду селищного бюджету, крім власних надходжень бюджетних установ.</w:t>
      </w:r>
    </w:p>
    <w:p w:rsidR="00971ADD" w:rsidRDefault="0058448F" w:rsidP="00971ADD">
      <w:pPr>
        <w:ind w:firstLine="520"/>
        <w:jc w:val="both"/>
        <w:rPr>
          <w:rFonts w:ascii="Times New Roman" w:eastAsia="Calibri" w:hAnsi="Times New Roman" w:cs="Times New Roman"/>
          <w:color w:val="auto"/>
          <w:sz w:val="28"/>
          <w:szCs w:val="22"/>
          <w:lang w:eastAsia="en-US" w:bidi="ar-SA"/>
        </w:rPr>
      </w:pPr>
      <w:r w:rsidRPr="0058448F">
        <w:rPr>
          <w:rFonts w:ascii="Times New Roman" w:eastAsia="Times New Roman" w:hAnsi="Times New Roman" w:cs="Times New Roman"/>
          <w:sz w:val="28"/>
          <w:szCs w:val="28"/>
        </w:rPr>
        <w:t>У випадку виникнення тимчасових касових розривів буде використовуватись можливість отримання позик на їхнє покриття для фінансування захищених видатків загального фонду.</w:t>
      </w:r>
      <w:r w:rsidR="00971ADD" w:rsidRPr="00971ADD">
        <w:rPr>
          <w:rFonts w:ascii="Times New Roman" w:eastAsia="Calibri" w:hAnsi="Times New Roman" w:cs="Times New Roman"/>
          <w:color w:val="auto"/>
          <w:sz w:val="28"/>
          <w:szCs w:val="22"/>
          <w:lang w:eastAsia="en-US" w:bidi="ar-SA"/>
        </w:rPr>
        <w:t xml:space="preserve"> </w:t>
      </w:r>
    </w:p>
    <w:p w:rsidR="00971ADD" w:rsidRPr="00971ADD" w:rsidRDefault="00971ADD" w:rsidP="00971ADD">
      <w:pPr>
        <w:spacing w:line="254" w:lineRule="auto"/>
        <w:ind w:firstLine="500"/>
        <w:jc w:val="both"/>
        <w:rPr>
          <w:rFonts w:ascii="Times New Roman" w:eastAsia="Calibri" w:hAnsi="Times New Roman" w:cs="Times New Roman"/>
          <w:color w:val="auto"/>
          <w:sz w:val="28"/>
          <w:szCs w:val="22"/>
          <w:lang w:eastAsia="en-US"/>
        </w:rPr>
      </w:pPr>
      <w:r w:rsidRPr="00971ADD">
        <w:rPr>
          <w:rFonts w:ascii="Times New Roman" w:eastAsia="Calibri" w:hAnsi="Times New Roman" w:cs="Times New Roman"/>
          <w:color w:val="auto"/>
          <w:sz w:val="28"/>
          <w:szCs w:val="22"/>
          <w:lang w:eastAsia="en-US"/>
        </w:rPr>
        <w:t>Кошти, що передаються із загального фонду до бюджету розвитку (спеціального фонду) на 2022 рік , 2023 рік, 2024 рік відсутні.</w:t>
      </w:r>
    </w:p>
    <w:p w:rsidR="00971ADD" w:rsidRDefault="00DE1B4D" w:rsidP="00971ADD">
      <w:pPr>
        <w:spacing w:line="254" w:lineRule="auto"/>
        <w:ind w:firstLine="500"/>
        <w:jc w:val="both"/>
        <w:rPr>
          <w:rFonts w:ascii="Times New Roman" w:eastAsia="Calibri" w:hAnsi="Times New Roman" w:cs="Times New Roman"/>
          <w:color w:val="auto"/>
          <w:sz w:val="28"/>
          <w:szCs w:val="22"/>
          <w:lang w:eastAsia="en-US"/>
        </w:rPr>
      </w:pPr>
      <w:r w:rsidRPr="00DE1B4D">
        <w:rPr>
          <w:rFonts w:ascii="Times New Roman" w:eastAsia="Calibri" w:hAnsi="Times New Roman" w:cs="Times New Roman"/>
          <w:color w:val="auto"/>
          <w:sz w:val="28"/>
          <w:szCs w:val="22"/>
          <w:lang w:eastAsia="en-US"/>
        </w:rPr>
        <w:t xml:space="preserve">Показники фінансування бюджету відображені у додатку 3 до Прогнозу. Показники місцевого боргу (додаток 4), гарантованого </w:t>
      </w:r>
      <w:r w:rsidR="00301DFE">
        <w:rPr>
          <w:rFonts w:ascii="Times New Roman" w:eastAsia="Calibri" w:hAnsi="Times New Roman" w:cs="Times New Roman"/>
          <w:color w:val="auto"/>
          <w:sz w:val="28"/>
          <w:szCs w:val="22"/>
          <w:lang w:eastAsia="en-US"/>
        </w:rPr>
        <w:t>територіальною громадою</w:t>
      </w:r>
      <w:r w:rsidRPr="00DE1B4D">
        <w:rPr>
          <w:rFonts w:ascii="Times New Roman" w:eastAsia="Calibri" w:hAnsi="Times New Roman" w:cs="Times New Roman"/>
          <w:color w:val="auto"/>
          <w:sz w:val="28"/>
          <w:szCs w:val="22"/>
          <w:lang w:eastAsia="en-US"/>
        </w:rPr>
        <w:t xml:space="preserve"> боргу та надання місцевих гарантій (додаток 5) відсутні.</w:t>
      </w:r>
    </w:p>
    <w:p w:rsidR="00DE1B4D" w:rsidRPr="00971ADD" w:rsidRDefault="00DE1B4D" w:rsidP="00971ADD">
      <w:pPr>
        <w:spacing w:line="254" w:lineRule="auto"/>
        <w:ind w:firstLine="500"/>
        <w:jc w:val="both"/>
        <w:rPr>
          <w:rFonts w:ascii="Times New Roman" w:eastAsia="Calibri" w:hAnsi="Times New Roman" w:cs="Times New Roman"/>
          <w:color w:val="auto"/>
          <w:sz w:val="28"/>
          <w:szCs w:val="22"/>
          <w:lang w:eastAsia="en-US"/>
        </w:rPr>
      </w:pPr>
    </w:p>
    <w:p w:rsidR="0058448F" w:rsidRPr="0058448F" w:rsidRDefault="0058448F" w:rsidP="00971ADD">
      <w:pPr>
        <w:keepNext/>
        <w:keepLines/>
        <w:numPr>
          <w:ilvl w:val="0"/>
          <w:numId w:val="6"/>
        </w:numPr>
        <w:tabs>
          <w:tab w:val="left" w:pos="778"/>
        </w:tab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Показники видатків бюджету та надання кредитів</w:t>
      </w:r>
      <w:r w:rsidR="00971ADD" w:rsidRPr="00971ADD">
        <w:rPr>
          <w:rFonts w:ascii="Times New Roman" w:eastAsia="Times New Roman" w:hAnsi="Times New Roman" w:cs="Times New Roman"/>
          <w:b/>
          <w:bCs/>
          <w:sz w:val="28"/>
          <w:szCs w:val="28"/>
          <w:lang w:val="ru-RU"/>
        </w:rPr>
        <w:t xml:space="preserve"> </w:t>
      </w:r>
      <w:r w:rsidRPr="0058448F">
        <w:rPr>
          <w:rFonts w:ascii="Times New Roman" w:eastAsia="Times New Roman" w:hAnsi="Times New Roman" w:cs="Times New Roman"/>
          <w:b/>
          <w:bCs/>
          <w:sz w:val="28"/>
          <w:szCs w:val="28"/>
        </w:rPr>
        <w:t xml:space="preserve">з бюджету </w:t>
      </w:r>
    </w:p>
    <w:p w:rsidR="0058448F" w:rsidRPr="000848E3" w:rsidRDefault="00461766" w:rsidP="00971ADD">
      <w:pPr>
        <w:ind w:firstLine="740"/>
        <w:jc w:val="both"/>
        <w:rPr>
          <w:rFonts w:ascii="Times New Roman" w:eastAsia="Times New Roman" w:hAnsi="Times New Roman" w:cs="Times New Roman"/>
          <w:color w:val="auto"/>
          <w:sz w:val="28"/>
          <w:szCs w:val="28"/>
          <w:lang w:val="ru-RU"/>
        </w:rPr>
      </w:pPr>
      <w:r>
        <w:rPr>
          <w:rFonts w:ascii="Times New Roman" w:eastAsia="Times New Roman" w:hAnsi="Times New Roman" w:cs="Times New Roman"/>
          <w:sz w:val="28"/>
          <w:szCs w:val="28"/>
        </w:rPr>
        <w:t>Прогноз селищного бюджет</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Романівської </w:t>
      </w:r>
      <w:r w:rsidR="0058448F" w:rsidRPr="0058448F">
        <w:rPr>
          <w:rFonts w:ascii="Times New Roman" w:eastAsia="Times New Roman" w:hAnsi="Times New Roman" w:cs="Times New Roman"/>
          <w:sz w:val="28"/>
          <w:szCs w:val="28"/>
        </w:rPr>
        <w:t>селищної ради складений, виходячи з норм чинного бюджетного законодавства, з урахуванням необхідності концентрації ресурсів на виконанні основних функціональних повноважень.</w:t>
      </w:r>
    </w:p>
    <w:p w:rsidR="0058448F" w:rsidRPr="0058448F" w:rsidRDefault="0058448F" w:rsidP="0058448F">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Бюджетні нововведення сприятимуть бюджетній самостійності і фінансовій незалежності селищного бюджету, що в свою чергу дозволить забезпечити виконання органами місцевого самоврядування своїх повноважень щодо надання якісних суспільних послуг населенню.</w:t>
      </w:r>
    </w:p>
    <w:p w:rsidR="0058448F" w:rsidRPr="0058448F" w:rsidRDefault="0058448F" w:rsidP="0058448F">
      <w:pPr>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Під час формування видаткової частини селищного бюджету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w:t>
      </w:r>
    </w:p>
    <w:p w:rsidR="0058448F" w:rsidRPr="0058448F" w:rsidRDefault="0058448F" w:rsidP="0058448F">
      <w:pPr>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Прогнозні показники видатків та кредитування селищного бюджету </w:t>
      </w:r>
      <w:r w:rsidR="00461766">
        <w:rPr>
          <w:rFonts w:ascii="Times New Roman" w:eastAsia="Times New Roman" w:hAnsi="Times New Roman" w:cs="Times New Roman"/>
          <w:sz w:val="28"/>
          <w:szCs w:val="28"/>
        </w:rPr>
        <w:t>Романівської</w:t>
      </w:r>
      <w:r w:rsidRPr="0058448F">
        <w:rPr>
          <w:rFonts w:ascii="Times New Roman" w:eastAsia="Times New Roman" w:hAnsi="Times New Roman" w:cs="Times New Roman"/>
          <w:sz w:val="28"/>
          <w:szCs w:val="28"/>
        </w:rPr>
        <w:t xml:space="preserve"> селищної ради на 2022 - 2023 роки відображені на підставі поданих головними розпорядниками коштів пропозицій до Прогнозу, а саме: граничні показники видатків бюджету та надання кредитів з бюджету головним розпорядникам коштів - додаток 6; граничні показники видатків бюджету за Типовою програмною класифікацією видатків та кредитування місцевого бюджету - додаток 7. В процесі формування видаткової частини селищного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2022- 2024 роки відповідно до Бюджетної декларації, прийнятої Верховною Радою України 15 липня 2021 року.</w:t>
      </w:r>
    </w:p>
    <w:p w:rsidR="0058448F" w:rsidRDefault="0058448F" w:rsidP="008141E4">
      <w:pPr>
        <w:ind w:firstLine="60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 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малозахищених категорій громадян, підтримки в належному стані об’єктів житлово - комунального господарства, впровадження заходів з енергозбереження (енергоефективності), виконання в межах фінансових можливостей селищних цільових (комплексних) програм.</w:t>
      </w:r>
    </w:p>
    <w:p w:rsidR="006F0C5A" w:rsidRPr="0058448F" w:rsidRDefault="006F0C5A" w:rsidP="008141E4">
      <w:pPr>
        <w:ind w:firstLine="600"/>
        <w:jc w:val="both"/>
        <w:rPr>
          <w:rFonts w:ascii="Times New Roman" w:eastAsia="Times New Roman" w:hAnsi="Times New Roman" w:cs="Times New Roman"/>
          <w:color w:val="auto"/>
          <w:sz w:val="28"/>
          <w:szCs w:val="28"/>
        </w:rPr>
      </w:pPr>
    </w:p>
    <w:p w:rsidR="0058448F" w:rsidRPr="0058448F" w:rsidRDefault="0058448F" w:rsidP="006F0C5A">
      <w:pPr>
        <w:jc w:val="center"/>
        <w:rPr>
          <w:rFonts w:ascii="Times New Roman" w:eastAsia="Times New Roman" w:hAnsi="Times New Roman" w:cs="Times New Roman"/>
          <w:color w:val="auto"/>
          <w:sz w:val="28"/>
          <w:szCs w:val="28"/>
        </w:rPr>
      </w:pPr>
      <w:r w:rsidRPr="0058448F">
        <w:rPr>
          <w:rFonts w:ascii="Times New Roman" w:eastAsia="Times New Roman" w:hAnsi="Times New Roman" w:cs="Times New Roman"/>
          <w:b/>
          <w:bCs/>
          <w:sz w:val="28"/>
          <w:szCs w:val="28"/>
        </w:rPr>
        <w:t>Державне управління</w:t>
      </w:r>
    </w:p>
    <w:p w:rsidR="008141E4" w:rsidRDefault="0058448F" w:rsidP="006F0C5A">
      <w:pPr>
        <w:ind w:firstLine="708"/>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Надані повноваження у сфері державного управління представлені виконавчими органами та управлінням, відділами та </w:t>
      </w:r>
      <w:r w:rsidR="008141E4">
        <w:rPr>
          <w:rFonts w:ascii="Times New Roman" w:eastAsia="Times New Roman" w:hAnsi="Times New Roman" w:cs="Times New Roman"/>
          <w:sz w:val="28"/>
          <w:szCs w:val="28"/>
        </w:rPr>
        <w:t xml:space="preserve">службою Романівської </w:t>
      </w:r>
      <w:r w:rsidRPr="0058448F">
        <w:rPr>
          <w:rFonts w:ascii="Times New Roman" w:eastAsia="Times New Roman" w:hAnsi="Times New Roman" w:cs="Times New Roman"/>
          <w:sz w:val="28"/>
          <w:szCs w:val="28"/>
        </w:rPr>
        <w:t xml:space="preserve">селищної ради із наявною загальною штатною чисельністю </w:t>
      </w:r>
      <w:r w:rsidR="008141E4">
        <w:rPr>
          <w:rFonts w:ascii="Times New Roman" w:eastAsia="Times New Roman" w:hAnsi="Times New Roman" w:cs="Times New Roman"/>
          <w:sz w:val="28"/>
          <w:szCs w:val="28"/>
        </w:rPr>
        <w:t>92</w:t>
      </w:r>
      <w:r w:rsidRPr="0058448F">
        <w:rPr>
          <w:rFonts w:ascii="Times New Roman" w:eastAsia="Times New Roman" w:hAnsi="Times New Roman" w:cs="Times New Roman"/>
          <w:sz w:val="28"/>
          <w:szCs w:val="28"/>
        </w:rPr>
        <w:t xml:space="preserve"> штатн</w:t>
      </w:r>
      <w:r w:rsidR="008141E4">
        <w:rPr>
          <w:rFonts w:ascii="Times New Roman" w:eastAsia="Times New Roman" w:hAnsi="Times New Roman" w:cs="Times New Roman"/>
          <w:sz w:val="28"/>
          <w:szCs w:val="28"/>
        </w:rPr>
        <w:t>і одиниці</w:t>
      </w:r>
      <w:r w:rsidRPr="0058448F">
        <w:rPr>
          <w:rFonts w:ascii="Times New Roman" w:eastAsia="Times New Roman" w:hAnsi="Times New Roman" w:cs="Times New Roman"/>
          <w:sz w:val="28"/>
          <w:szCs w:val="28"/>
        </w:rPr>
        <w:t xml:space="preserve">. </w:t>
      </w:r>
    </w:p>
    <w:p w:rsidR="0058448F" w:rsidRPr="0058448F" w:rsidRDefault="0058448F" w:rsidP="008141E4">
      <w:pPr>
        <w:ind w:firstLine="6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Метою діяльності є організаційне, інформаційне-аналітичне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їх імені та в її інтересах функцій і повноважень місцевого самоврядування, визначених Конституцією та законами України.</w:t>
      </w:r>
    </w:p>
    <w:p w:rsidR="0058448F" w:rsidRPr="0058448F" w:rsidRDefault="0058448F" w:rsidP="0058448F">
      <w:pPr>
        <w:ind w:firstLine="6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Цілі державної політики у сфері органів місцевого самоврядування полягають у забезпеченні сприяння місцевого розвитку розбудові територіальної громади, забезпечення оптимізація та реалізація формування доходів і використання фінансових ресурсів для виконання завдань територіальної громади у фінансовій сфері, забезпечення якісного та ефективного управління закладами освіти, соціальної підтримки населення та закладів культури та інше.</w:t>
      </w:r>
    </w:p>
    <w:p w:rsidR="0058448F" w:rsidRPr="0058448F" w:rsidRDefault="0058448F" w:rsidP="0058448F">
      <w:pPr>
        <w:ind w:firstLine="620"/>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заходи передбачається здійснити у 2022-2024 роках:</w:t>
      </w:r>
    </w:p>
    <w:p w:rsidR="008141E4" w:rsidRDefault="0058448F" w:rsidP="008141E4">
      <w:pPr>
        <w:ind w:firstLine="567"/>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забезпечення принципу прозорості у діяльності виконавчих органів селищної ради; </w:t>
      </w:r>
    </w:p>
    <w:p w:rsidR="008141E4" w:rsidRDefault="0058448F" w:rsidP="008141E4">
      <w:pPr>
        <w:ind w:firstLine="567"/>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впровадження інформаційних технологій та електронного документообігу; </w:t>
      </w:r>
    </w:p>
    <w:p w:rsidR="0058448F" w:rsidRDefault="0058448F" w:rsidP="008141E4">
      <w:pPr>
        <w:ind w:firstLine="567"/>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закріплення фінансової самодостатності місцевого самоврядування.</w:t>
      </w:r>
    </w:p>
    <w:p w:rsidR="006F0C5A" w:rsidRPr="0058448F" w:rsidRDefault="006F0C5A" w:rsidP="008141E4">
      <w:pPr>
        <w:ind w:firstLine="567"/>
        <w:jc w:val="both"/>
        <w:rPr>
          <w:rFonts w:ascii="Times New Roman" w:eastAsia="Times New Roman" w:hAnsi="Times New Roman" w:cs="Times New Roman"/>
          <w:color w:val="auto"/>
          <w:sz w:val="28"/>
          <w:szCs w:val="28"/>
        </w:rPr>
      </w:pP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Освіта</w:t>
      </w:r>
    </w:p>
    <w:p w:rsidR="0058448F" w:rsidRPr="0058448F" w:rsidRDefault="0058448F" w:rsidP="006F0C5A">
      <w:pPr>
        <w:ind w:firstLine="8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Пріоритетними цілями </w:t>
      </w:r>
      <w:r w:rsidRPr="0058448F">
        <w:rPr>
          <w:rFonts w:ascii="Times New Roman" w:eastAsia="Times New Roman" w:hAnsi="Times New Roman" w:cs="Times New Roman"/>
          <w:i/>
          <w:iCs/>
          <w:sz w:val="28"/>
          <w:szCs w:val="28"/>
        </w:rPr>
        <w:t>у</w:t>
      </w:r>
      <w:r w:rsidRPr="0058448F">
        <w:rPr>
          <w:rFonts w:ascii="Times New Roman" w:eastAsia="Times New Roman" w:hAnsi="Times New Roman" w:cs="Times New Roman"/>
          <w:sz w:val="28"/>
          <w:szCs w:val="28"/>
        </w:rPr>
        <w:t xml:space="preserve"> сфері освіти є реалізація головними розпорядниками бюджетних коштів - відділ освіти, відділу культури</w:t>
      </w:r>
      <w:r w:rsidR="00D20870">
        <w:rPr>
          <w:rFonts w:ascii="Times New Roman" w:eastAsia="Times New Roman" w:hAnsi="Times New Roman" w:cs="Times New Roman"/>
          <w:sz w:val="28"/>
          <w:szCs w:val="28"/>
        </w:rPr>
        <w:t>,</w:t>
      </w:r>
      <w:r w:rsidRPr="0058448F">
        <w:rPr>
          <w:rFonts w:ascii="Times New Roman" w:eastAsia="Times New Roman" w:hAnsi="Times New Roman" w:cs="Times New Roman"/>
          <w:sz w:val="28"/>
          <w:szCs w:val="28"/>
        </w:rPr>
        <w:t xml:space="preserve"> </w:t>
      </w:r>
      <w:r w:rsidR="00D20870" w:rsidRPr="0058448F">
        <w:rPr>
          <w:rFonts w:ascii="Times New Roman" w:eastAsia="Times New Roman" w:hAnsi="Times New Roman" w:cs="Times New Roman"/>
          <w:sz w:val="28"/>
          <w:szCs w:val="28"/>
        </w:rPr>
        <w:t xml:space="preserve">туризму молоді та спорту </w:t>
      </w:r>
      <w:r w:rsidR="00D20870">
        <w:rPr>
          <w:rFonts w:ascii="Times New Roman" w:eastAsia="Times New Roman" w:hAnsi="Times New Roman" w:cs="Times New Roman"/>
          <w:sz w:val="28"/>
          <w:szCs w:val="28"/>
        </w:rPr>
        <w:t>(</w:t>
      </w:r>
      <w:r w:rsidRPr="0058448F">
        <w:rPr>
          <w:rFonts w:ascii="Times New Roman" w:eastAsia="Times New Roman" w:hAnsi="Times New Roman" w:cs="Times New Roman"/>
          <w:sz w:val="28"/>
          <w:szCs w:val="28"/>
        </w:rPr>
        <w:t>додаток 6) у середньостроковій перспективі напрямів направлених на: повноцінний розвиток кожної дитини, її успішну інтеграцію в українське суспільство та європейську інтеграцію; забезпечення діяльності мережі дошкільних навчальних закладів різних типів, створення умов для їх функціонування, зміцнення матеріально-технічної установ освіти, урізноманітнення моделей організації освіти, охоплення дітей обов'язковою дошкільною освітою. Для здійснення заходів для забезпечення якісної, сучасної, конкурентоспроможної та доступної освіти шляхом реалізації таких заходів: рівноправність у бюджетному фінансуванні закладів освіти усіх типів; упорядкування мережі закладів освіти та розширення їх конкурентного партнерства з закладами освіти; компетентнісний підхід до підготовки та перепідготовки вчителів.</w:t>
      </w:r>
    </w:p>
    <w:p w:rsidR="0058448F" w:rsidRPr="0058448F" w:rsidRDefault="0058448F" w:rsidP="0058448F">
      <w:pPr>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забезпечення закладів загальної середньої освіти сучасним навчальним обладнанням та оновлення матеріально- технічної бази; розбудова безпечної та інклюзивної системи освіти за допомогою наближення освітніх послуг учням з особливими освітніми потребами, врахування індивідуальних потреб і можливостей таких здобувачів освіти; забезпечення доступності мистецької і позашкільної освіти; запровадження системи оцінювання якості освіти.</w:t>
      </w:r>
    </w:p>
    <w:p w:rsidR="0058448F" w:rsidRPr="0058448F" w:rsidRDefault="0058448F" w:rsidP="0058448F">
      <w:pPr>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результати, яких планується досягти: створення освітнього середовища на всій території громади, яке відповідає вимогам сьогодення; забезпечення доступної дошкільної, загальної середньої та позашкільної освіти з урахуванням демографічних та економічних реалій; сприяння підвищенню мотивації учнів до навчання, а вчителів - до професійного розвитку; надання освітніх послуг учням з особливими освітніми потребами максимально наближено до місця проживання та з урахуванням їх індивідуальних потреб і можливостей.</w:t>
      </w:r>
    </w:p>
    <w:p w:rsidR="0058448F" w:rsidRPr="0058448F" w:rsidRDefault="0058448F" w:rsidP="0058448F">
      <w:pPr>
        <w:spacing w:after="420"/>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Реалізація освітніх послуг буде здійснюватися через існуючу мережу </w:t>
      </w:r>
      <w:r w:rsidR="00D20870">
        <w:rPr>
          <w:rFonts w:ascii="Times New Roman" w:eastAsia="Times New Roman" w:hAnsi="Times New Roman" w:cs="Times New Roman"/>
          <w:sz w:val="28"/>
          <w:szCs w:val="28"/>
        </w:rPr>
        <w:t>освітніх закладів, яка включає 15</w:t>
      </w:r>
      <w:r w:rsidRPr="0058448F">
        <w:rPr>
          <w:rFonts w:ascii="Times New Roman" w:eastAsia="Times New Roman" w:hAnsi="Times New Roman" w:cs="Times New Roman"/>
          <w:sz w:val="28"/>
          <w:szCs w:val="28"/>
        </w:rPr>
        <w:t xml:space="preserve"> закладів дошкільної освіти середньорічна кількість </w:t>
      </w:r>
      <w:r w:rsidR="00DD795C" w:rsidRPr="0058448F">
        <w:rPr>
          <w:rFonts w:ascii="Times New Roman" w:eastAsia="Times New Roman" w:hAnsi="Times New Roman" w:cs="Times New Roman"/>
          <w:sz w:val="28"/>
          <w:szCs w:val="28"/>
        </w:rPr>
        <w:t>дітей</w:t>
      </w:r>
      <w:r w:rsidR="00DD795C">
        <w:rPr>
          <w:rFonts w:ascii="Times New Roman" w:eastAsia="Times New Roman" w:hAnsi="Times New Roman" w:cs="Times New Roman"/>
          <w:sz w:val="28"/>
          <w:szCs w:val="28"/>
        </w:rPr>
        <w:t xml:space="preserve"> в яких </w:t>
      </w:r>
      <w:r w:rsidR="00D20870">
        <w:rPr>
          <w:rFonts w:ascii="Times New Roman" w:eastAsia="Times New Roman" w:hAnsi="Times New Roman" w:cs="Times New Roman"/>
          <w:sz w:val="28"/>
          <w:szCs w:val="28"/>
        </w:rPr>
        <w:t>663</w:t>
      </w:r>
      <w:r w:rsidR="00DD795C">
        <w:rPr>
          <w:rFonts w:ascii="Times New Roman" w:eastAsia="Times New Roman" w:hAnsi="Times New Roman" w:cs="Times New Roman"/>
          <w:sz w:val="28"/>
          <w:szCs w:val="28"/>
        </w:rPr>
        <w:t xml:space="preserve"> дитини</w:t>
      </w:r>
      <w:r w:rsidRPr="0058448F">
        <w:rPr>
          <w:rFonts w:ascii="Times New Roman" w:eastAsia="Times New Roman" w:hAnsi="Times New Roman" w:cs="Times New Roman"/>
          <w:sz w:val="28"/>
          <w:szCs w:val="28"/>
        </w:rPr>
        <w:t>, 1</w:t>
      </w:r>
      <w:r w:rsidR="00D20870">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закладів загальної середньої освіти</w:t>
      </w:r>
      <w:r w:rsidR="00DD795C">
        <w:rPr>
          <w:rFonts w:ascii="Times New Roman" w:eastAsia="Times New Roman" w:hAnsi="Times New Roman" w:cs="Times New Roman"/>
          <w:sz w:val="28"/>
          <w:szCs w:val="28"/>
        </w:rPr>
        <w:t xml:space="preserve"> середньорічна кількість учнів в яких 2197 учнів</w:t>
      </w:r>
      <w:r w:rsidRPr="0058448F">
        <w:rPr>
          <w:rFonts w:ascii="Times New Roman" w:eastAsia="Times New Roman" w:hAnsi="Times New Roman" w:cs="Times New Roman"/>
          <w:sz w:val="28"/>
          <w:szCs w:val="28"/>
        </w:rPr>
        <w:t xml:space="preserve">, 1 установа іклюзивно-ресурсний центр, </w:t>
      </w:r>
      <w:r w:rsidR="00D20870">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установ</w:t>
      </w:r>
      <w:r w:rsidR="00D20870">
        <w:rPr>
          <w:rFonts w:ascii="Times New Roman" w:eastAsia="Times New Roman" w:hAnsi="Times New Roman" w:cs="Times New Roman"/>
          <w:sz w:val="28"/>
          <w:szCs w:val="28"/>
        </w:rPr>
        <w:t>а</w:t>
      </w:r>
      <w:r w:rsidRPr="0058448F">
        <w:rPr>
          <w:rFonts w:ascii="Times New Roman" w:eastAsia="Times New Roman" w:hAnsi="Times New Roman" w:cs="Times New Roman"/>
          <w:sz w:val="28"/>
          <w:szCs w:val="28"/>
        </w:rPr>
        <w:t xml:space="preserve"> позашкільної освіти та </w:t>
      </w:r>
      <w:r w:rsidR="00D20870">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w:t>
      </w:r>
      <w:r w:rsidR="00D20870">
        <w:rPr>
          <w:rFonts w:ascii="Times New Roman" w:eastAsia="Times New Roman" w:hAnsi="Times New Roman" w:cs="Times New Roman"/>
          <w:sz w:val="28"/>
          <w:szCs w:val="28"/>
        </w:rPr>
        <w:t>мистец</w:t>
      </w:r>
      <w:r w:rsidR="003B0B17">
        <w:rPr>
          <w:rFonts w:ascii="Times New Roman" w:eastAsia="Times New Roman" w:hAnsi="Times New Roman" w:cs="Times New Roman"/>
          <w:sz w:val="28"/>
          <w:szCs w:val="28"/>
        </w:rPr>
        <w:t>ька школа</w:t>
      </w:r>
      <w:r w:rsidRPr="0058448F">
        <w:rPr>
          <w:rFonts w:ascii="Times New Roman" w:eastAsia="Times New Roman" w:hAnsi="Times New Roman" w:cs="Times New Roman"/>
          <w:sz w:val="28"/>
          <w:szCs w:val="28"/>
        </w:rPr>
        <w:t>.</w:t>
      </w: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Охорона здоров’я</w:t>
      </w:r>
    </w:p>
    <w:p w:rsidR="0058448F" w:rsidRPr="0058448F" w:rsidRDefault="0058448F" w:rsidP="006F0C5A">
      <w:pPr>
        <w:ind w:firstLine="5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Пріоритетні цілі громади у сфері охорони здоров'я направлені на фінансову підтримку комунальних закладів охорони здоров'я, які здійснюються головним </w:t>
      </w:r>
      <w:r w:rsidR="008D1F05">
        <w:rPr>
          <w:rFonts w:ascii="Times New Roman" w:eastAsia="Times New Roman" w:hAnsi="Times New Roman" w:cs="Times New Roman"/>
          <w:sz w:val="28"/>
          <w:szCs w:val="28"/>
        </w:rPr>
        <w:t xml:space="preserve">розпорядником бюджетних коштів  </w:t>
      </w:r>
      <w:r w:rsidRPr="0058448F">
        <w:rPr>
          <w:rFonts w:ascii="Times New Roman" w:eastAsia="Times New Roman" w:hAnsi="Times New Roman" w:cs="Times New Roman"/>
          <w:sz w:val="28"/>
          <w:szCs w:val="28"/>
        </w:rPr>
        <w:t>селищною радою (додаток 6). Граничний обсяг видатків головним розпорядником бюджетних коштів направлено на реалізацію наступних бюджетних програм: КПКВ 2010 «Багатопрофільна стаціонарна медична допомога населенню» КПИВ 2111 «Первинна медична допомога населенню, що надається центрами первинної медичної допомоги(медико-санітарної допомоги).</w:t>
      </w:r>
    </w:p>
    <w:p w:rsidR="0058448F" w:rsidRPr="0058448F" w:rsidRDefault="0058448F" w:rsidP="0058448F">
      <w:pPr>
        <w:ind w:firstLine="4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результати, яких планується досягти: підвищення рівня медичного обслуговування населення; запровадження нових підходів до організації роботи закладів охорони здоров’я та їх фінансового забезпечення; подальший розвиток системи медичного обслуговування населення та реформування системи охорони здоров'я; зниження рівнів загальної захворюваності населення.</w:t>
      </w:r>
    </w:p>
    <w:p w:rsidR="00A91C18" w:rsidRPr="0058448F" w:rsidRDefault="00A91C18" w:rsidP="00A91C18">
      <w:pPr>
        <w:ind w:firstLine="480"/>
        <w:jc w:val="both"/>
        <w:rPr>
          <w:rFonts w:ascii="Times New Roman" w:eastAsia="Times New Roman" w:hAnsi="Times New Roman" w:cs="Times New Roman"/>
          <w:color w:val="auto"/>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Соціальний захист та соціальне забезпечення</w:t>
      </w:r>
    </w:p>
    <w:p w:rsidR="0058448F" w:rsidRPr="0058448F" w:rsidRDefault="0058448F" w:rsidP="00A91C18">
      <w:pPr>
        <w:spacing w:line="259" w:lineRule="auto"/>
        <w:ind w:firstLine="4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Пріоритетні цілі громади у сфері соціального захисту та соціального забезпечення:</w:t>
      </w:r>
    </w:p>
    <w:p w:rsidR="0058448F" w:rsidRPr="0058448F" w:rsidRDefault="0058448F" w:rsidP="008D1F05">
      <w:pPr>
        <w:numPr>
          <w:ilvl w:val="0"/>
          <w:numId w:val="5"/>
        </w:numPr>
        <w:tabs>
          <w:tab w:val="left" w:pos="567"/>
        </w:tabs>
        <w:spacing w:line="259" w:lineRule="auto"/>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підвищення якості надання соціальних послуг;</w:t>
      </w:r>
    </w:p>
    <w:p w:rsidR="0058448F" w:rsidRPr="0058448F" w:rsidRDefault="0058448F" w:rsidP="008D1F05">
      <w:pPr>
        <w:numPr>
          <w:ilvl w:val="0"/>
          <w:numId w:val="5"/>
        </w:numPr>
        <w:tabs>
          <w:tab w:val="left" w:pos="567"/>
          <w:tab w:val="left" w:pos="913"/>
        </w:tabs>
        <w:spacing w:line="259" w:lineRule="auto"/>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забезпечення належного функціонування та подальшого розвитку територіального центру;</w:t>
      </w:r>
    </w:p>
    <w:p w:rsidR="008D1F05" w:rsidRPr="008D1F05" w:rsidRDefault="0058448F" w:rsidP="008D1F05">
      <w:pPr>
        <w:numPr>
          <w:ilvl w:val="0"/>
          <w:numId w:val="5"/>
        </w:numPr>
        <w:tabs>
          <w:tab w:val="left" w:pos="567"/>
          <w:tab w:val="left" w:pos="913"/>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підвищення рівня охоплення соціальною підтримкою незаможних верств населення при раціональному використанні бюджетних коштів; </w:t>
      </w:r>
    </w:p>
    <w:p w:rsidR="0058448F" w:rsidRPr="0058448F" w:rsidRDefault="0058448F" w:rsidP="008D1F05">
      <w:pPr>
        <w:numPr>
          <w:ilvl w:val="0"/>
          <w:numId w:val="5"/>
        </w:numPr>
        <w:tabs>
          <w:tab w:val="left" w:pos="567"/>
          <w:tab w:val="left" w:pos="913"/>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виявлення громадян їх індивідуальних потр</w:t>
      </w:r>
      <w:r w:rsidR="008D1F05">
        <w:rPr>
          <w:rFonts w:ascii="Times New Roman" w:eastAsia="Times New Roman" w:hAnsi="Times New Roman" w:cs="Times New Roman"/>
          <w:sz w:val="28"/>
          <w:szCs w:val="28"/>
        </w:rPr>
        <w:t>еб у соціальному обслуговуванні</w:t>
      </w:r>
      <w:r w:rsidRPr="0058448F">
        <w:rPr>
          <w:rFonts w:ascii="Times New Roman" w:eastAsia="Times New Roman" w:hAnsi="Times New Roman" w:cs="Times New Roman"/>
          <w:sz w:val="28"/>
          <w:szCs w:val="28"/>
        </w:rPr>
        <w:t xml:space="preserve"> наданні соціальних послуг)</w:t>
      </w:r>
      <w:r w:rsidR="008D1F05">
        <w:rPr>
          <w:rFonts w:ascii="Times New Roman" w:eastAsia="Times New Roman" w:hAnsi="Times New Roman" w:cs="Times New Roman"/>
          <w:sz w:val="28"/>
          <w:szCs w:val="28"/>
        </w:rPr>
        <w:t>;</w:t>
      </w:r>
    </w:p>
    <w:p w:rsidR="0058448F" w:rsidRPr="0058448F" w:rsidRDefault="0058448F" w:rsidP="008D1F05">
      <w:pPr>
        <w:numPr>
          <w:ilvl w:val="0"/>
          <w:numId w:val="5"/>
        </w:numPr>
        <w:tabs>
          <w:tab w:val="left" w:pos="567"/>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забезпечення якісного соціального обслуговуван</w:t>
      </w:r>
      <w:r w:rsidR="008D1F05">
        <w:rPr>
          <w:rFonts w:ascii="Times New Roman" w:eastAsia="Times New Roman" w:hAnsi="Times New Roman" w:cs="Times New Roman"/>
          <w:sz w:val="28"/>
          <w:szCs w:val="28"/>
        </w:rPr>
        <w:t>ня (надання соціальних послуг);</w:t>
      </w:r>
    </w:p>
    <w:p w:rsidR="0058448F" w:rsidRPr="0058448F" w:rsidRDefault="0058448F" w:rsidP="008D1F05">
      <w:pPr>
        <w:numPr>
          <w:ilvl w:val="0"/>
          <w:numId w:val="5"/>
        </w:numPr>
        <w:tabs>
          <w:tab w:val="left" w:pos="567"/>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компенсаційні виплати на пільговий проїзд окремих категорій громадян.</w:t>
      </w:r>
    </w:p>
    <w:p w:rsidR="0058448F" w:rsidRPr="0058448F" w:rsidRDefault="0058448F" w:rsidP="0058448F">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Основні результати, яких планується досягти: адаптація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w:t>
      </w:r>
      <w:r w:rsidR="008D1F05">
        <w:rPr>
          <w:rFonts w:ascii="Times New Roman" w:eastAsia="Times New Roman" w:hAnsi="Times New Roman" w:cs="Times New Roman"/>
          <w:sz w:val="28"/>
          <w:szCs w:val="28"/>
        </w:rPr>
        <w:t>і</w:t>
      </w:r>
      <w:r w:rsidRPr="0058448F">
        <w:rPr>
          <w:rFonts w:ascii="Times New Roman" w:eastAsia="Times New Roman" w:hAnsi="Times New Roman" w:cs="Times New Roman"/>
          <w:sz w:val="28"/>
          <w:szCs w:val="28"/>
        </w:rPr>
        <w:t>нтернет технологій;</w:t>
      </w:r>
    </w:p>
    <w:p w:rsidR="0058448F" w:rsidRPr="0058448F" w:rsidRDefault="0058448F" w:rsidP="0058448F">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Прогнозні граничні показники селищного бюджету по видатках на фінансування галузі «Соціальний захист та соціальне забезпечення» на 2022-2024 роки передбачаються наступними головними розпорядниками коштів (додаток 6): селищна рада, </w:t>
      </w:r>
      <w:r w:rsidR="008D1F05">
        <w:rPr>
          <w:rFonts w:ascii="Times New Roman" w:eastAsia="Times New Roman" w:hAnsi="Times New Roman" w:cs="Times New Roman"/>
          <w:sz w:val="28"/>
          <w:szCs w:val="28"/>
        </w:rPr>
        <w:t>відділ соціального захисту населення.</w:t>
      </w:r>
      <w:r w:rsidRPr="0058448F">
        <w:rPr>
          <w:rFonts w:ascii="Times New Roman" w:eastAsia="Times New Roman" w:hAnsi="Times New Roman" w:cs="Times New Roman"/>
          <w:sz w:val="28"/>
          <w:szCs w:val="28"/>
        </w:rPr>
        <w:t xml:space="preserve"> Крім того, на 2022 - 2024 роки плануються видатки на реалізацію селищних програм соціального захисту та соціальної підтримки окремих категорій населення громади.</w:t>
      </w:r>
    </w:p>
    <w:p w:rsidR="0058448F" w:rsidRPr="0058448F" w:rsidRDefault="0058448F" w:rsidP="00A91C18">
      <w:pPr>
        <w:ind w:firstLine="70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Виконання основних завдань покладено на територіальний центр соціального обслуговування (надання соціальних послуг), який складається з трьох відділень: відділення соціальної допомоги вдома, відділення </w:t>
      </w:r>
      <w:r w:rsidR="008D1F05">
        <w:rPr>
          <w:rFonts w:ascii="Times New Roman" w:eastAsia="Times New Roman" w:hAnsi="Times New Roman" w:cs="Times New Roman"/>
          <w:sz w:val="28"/>
          <w:szCs w:val="28"/>
        </w:rPr>
        <w:t xml:space="preserve">стаціонарного догляду, </w:t>
      </w:r>
      <w:r w:rsidRPr="0058448F">
        <w:rPr>
          <w:rFonts w:ascii="Times New Roman" w:eastAsia="Times New Roman" w:hAnsi="Times New Roman" w:cs="Times New Roman"/>
          <w:sz w:val="28"/>
          <w:szCs w:val="28"/>
        </w:rPr>
        <w:t>відділення</w:t>
      </w:r>
      <w:r w:rsidR="008D1F05">
        <w:rPr>
          <w:rFonts w:ascii="Times New Roman" w:eastAsia="Times New Roman" w:hAnsi="Times New Roman" w:cs="Times New Roman"/>
          <w:sz w:val="28"/>
          <w:szCs w:val="28"/>
        </w:rPr>
        <w:t xml:space="preserve"> денного перебування</w:t>
      </w:r>
      <w:r w:rsidRPr="0058448F">
        <w:rPr>
          <w:rFonts w:ascii="Times New Roman" w:eastAsia="Times New Roman" w:hAnsi="Times New Roman" w:cs="Times New Roman"/>
          <w:sz w:val="28"/>
          <w:szCs w:val="28"/>
        </w:rPr>
        <w:t>.</w:t>
      </w:r>
    </w:p>
    <w:p w:rsidR="00A91C18" w:rsidRDefault="00A91C18" w:rsidP="00A91C18">
      <w:pPr>
        <w:keepNext/>
        <w:keepLines/>
        <w:jc w:val="center"/>
        <w:outlineLvl w:val="1"/>
        <w:rPr>
          <w:rFonts w:ascii="Times New Roman" w:eastAsia="Times New Roman" w:hAnsi="Times New Roman" w:cs="Times New Roman"/>
          <w:b/>
          <w:bCs/>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Культура і мистецтво</w:t>
      </w:r>
    </w:p>
    <w:p w:rsidR="0058448F" w:rsidRPr="0058448F" w:rsidRDefault="0058448F" w:rsidP="00A91C18">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Пріоритетні цілі громади у сфері культури і туризму, втіленням яких у громаді проводить головний розпорядник бюджетних коштів відділ культури</w:t>
      </w:r>
      <w:r w:rsidR="003B0B17">
        <w:rPr>
          <w:rFonts w:ascii="Times New Roman" w:eastAsia="Times New Roman" w:hAnsi="Times New Roman" w:cs="Times New Roman"/>
          <w:sz w:val="28"/>
          <w:szCs w:val="28"/>
        </w:rPr>
        <w:t>,</w:t>
      </w:r>
      <w:r w:rsidRPr="0058448F">
        <w:rPr>
          <w:rFonts w:ascii="Times New Roman" w:eastAsia="Times New Roman" w:hAnsi="Times New Roman" w:cs="Times New Roman"/>
          <w:sz w:val="28"/>
          <w:szCs w:val="28"/>
        </w:rPr>
        <w:t xml:space="preserve"> туризму</w:t>
      </w:r>
      <w:r w:rsidR="003B0B17">
        <w:rPr>
          <w:rFonts w:ascii="Times New Roman" w:eastAsia="Times New Roman" w:hAnsi="Times New Roman" w:cs="Times New Roman"/>
          <w:sz w:val="28"/>
          <w:szCs w:val="28"/>
        </w:rPr>
        <w:t>, молоді та спорту</w:t>
      </w:r>
      <w:r w:rsidRPr="0058448F">
        <w:rPr>
          <w:rFonts w:ascii="Times New Roman" w:eastAsia="Times New Roman" w:hAnsi="Times New Roman" w:cs="Times New Roman"/>
          <w:sz w:val="28"/>
          <w:szCs w:val="28"/>
        </w:rPr>
        <w:t>. Прогнозні граничні показники бюджету головн</w:t>
      </w:r>
      <w:r w:rsidR="003B0B17">
        <w:rPr>
          <w:rFonts w:ascii="Times New Roman" w:eastAsia="Times New Roman" w:hAnsi="Times New Roman" w:cs="Times New Roman"/>
          <w:sz w:val="28"/>
          <w:szCs w:val="28"/>
        </w:rPr>
        <w:t>о</w:t>
      </w:r>
      <w:r w:rsidRPr="0058448F">
        <w:rPr>
          <w:rFonts w:ascii="Times New Roman" w:eastAsia="Times New Roman" w:hAnsi="Times New Roman" w:cs="Times New Roman"/>
          <w:sz w:val="28"/>
          <w:szCs w:val="28"/>
        </w:rPr>
        <w:t xml:space="preserve">му розпоряднику бюджетних коштів розподілені на реалізацію наступних бюджетних програм (додаток 6), а саме: КПКВ 4030 «Забезпечення діяльності бібліотек» на утримання селищної централізованої бібліотечної системи, яка налічує </w:t>
      </w:r>
      <w:r w:rsidR="00802AF4">
        <w:rPr>
          <w:rFonts w:ascii="Times New Roman" w:eastAsia="Times New Roman" w:hAnsi="Times New Roman" w:cs="Times New Roman"/>
          <w:sz w:val="28"/>
          <w:szCs w:val="28"/>
        </w:rPr>
        <w:t>5</w:t>
      </w:r>
      <w:r w:rsidRPr="0058448F">
        <w:rPr>
          <w:rFonts w:ascii="Times New Roman" w:eastAsia="Times New Roman" w:hAnsi="Times New Roman" w:cs="Times New Roman"/>
          <w:sz w:val="28"/>
          <w:szCs w:val="28"/>
        </w:rPr>
        <w:t xml:space="preserve"> </w:t>
      </w:r>
      <w:r w:rsidR="003B0B17">
        <w:rPr>
          <w:rFonts w:ascii="Times New Roman" w:eastAsia="Times New Roman" w:hAnsi="Times New Roman" w:cs="Times New Roman"/>
          <w:sz w:val="28"/>
          <w:szCs w:val="28"/>
        </w:rPr>
        <w:t>закладів</w:t>
      </w:r>
      <w:r w:rsidRPr="0058448F">
        <w:rPr>
          <w:rFonts w:ascii="Times New Roman" w:eastAsia="Times New Roman" w:hAnsi="Times New Roman" w:cs="Times New Roman"/>
          <w:sz w:val="28"/>
          <w:szCs w:val="28"/>
        </w:rPr>
        <w:t xml:space="preserve">; КПКВ 4040 «Забезпечення діяльності музеїв і виставок» на утримання </w:t>
      </w:r>
      <w:r w:rsidR="003B0B17">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музе</w:t>
      </w:r>
      <w:r w:rsidR="003B0B17">
        <w:rPr>
          <w:rFonts w:ascii="Times New Roman" w:eastAsia="Times New Roman" w:hAnsi="Times New Roman" w:cs="Times New Roman"/>
          <w:sz w:val="28"/>
          <w:szCs w:val="28"/>
        </w:rPr>
        <w:t>ю</w:t>
      </w:r>
      <w:r w:rsidRPr="0058448F">
        <w:rPr>
          <w:rFonts w:ascii="Times New Roman" w:eastAsia="Times New Roman" w:hAnsi="Times New Roman" w:cs="Times New Roman"/>
          <w:sz w:val="28"/>
          <w:szCs w:val="28"/>
        </w:rPr>
        <w:t>; КПКВ 4060 «Забезпечення діяльності палаців і будинків культури, клубів, центрів дозвілля та інших клубних закладів» на утримання 2</w:t>
      </w:r>
      <w:r w:rsidR="003B0B17">
        <w:rPr>
          <w:rFonts w:ascii="Times New Roman" w:eastAsia="Times New Roman" w:hAnsi="Times New Roman" w:cs="Times New Roman"/>
          <w:sz w:val="28"/>
          <w:szCs w:val="28"/>
        </w:rPr>
        <w:t>3</w:t>
      </w:r>
      <w:r w:rsidRPr="0058448F">
        <w:rPr>
          <w:rFonts w:ascii="Times New Roman" w:eastAsia="Times New Roman" w:hAnsi="Times New Roman" w:cs="Times New Roman"/>
          <w:sz w:val="28"/>
          <w:szCs w:val="28"/>
        </w:rPr>
        <w:t xml:space="preserve"> закладів, КПКВ 4081 «Забезпечення діяльності інших закладів в галузі культури і мистецтва» н</w:t>
      </w:r>
      <w:r w:rsidR="003B0B17">
        <w:rPr>
          <w:rFonts w:ascii="Times New Roman" w:eastAsia="Times New Roman" w:hAnsi="Times New Roman" w:cs="Times New Roman"/>
          <w:sz w:val="28"/>
          <w:szCs w:val="28"/>
        </w:rPr>
        <w:t xml:space="preserve">а утримання бухгалтерії відділу </w:t>
      </w:r>
      <w:r w:rsidR="003B0B17" w:rsidRPr="003B0B17">
        <w:rPr>
          <w:rFonts w:ascii="Times New Roman" w:eastAsia="Times New Roman" w:hAnsi="Times New Roman" w:cs="Times New Roman"/>
          <w:sz w:val="28"/>
          <w:szCs w:val="28"/>
        </w:rPr>
        <w:t>культури</w:t>
      </w:r>
      <w:r w:rsidR="003B0B17">
        <w:rPr>
          <w:rFonts w:ascii="Times New Roman" w:eastAsia="Times New Roman" w:hAnsi="Times New Roman" w:cs="Times New Roman"/>
          <w:sz w:val="28"/>
          <w:szCs w:val="28"/>
        </w:rPr>
        <w:t>;</w:t>
      </w:r>
      <w:r w:rsidR="003B0B17" w:rsidRPr="003B0B17">
        <w:rPr>
          <w:rFonts w:ascii="Times New Roman" w:hAnsi="Times New Roman" w:cs="Times New Roman"/>
        </w:rPr>
        <w:t xml:space="preserve"> КПКВ 4082</w:t>
      </w:r>
      <w:r w:rsidR="003B0B17">
        <w:t xml:space="preserve"> “</w:t>
      </w:r>
      <w:r w:rsidR="003B0B17" w:rsidRPr="003B0B17">
        <w:rPr>
          <w:rFonts w:ascii="Times New Roman" w:eastAsia="Times New Roman" w:hAnsi="Times New Roman" w:cs="Times New Roman"/>
          <w:sz w:val="28"/>
          <w:szCs w:val="28"/>
        </w:rPr>
        <w:t>Інші заходи в галузі культури і мистецтва</w:t>
      </w:r>
      <w:r w:rsidR="003B0B17">
        <w:rPr>
          <w:rFonts w:ascii="Times New Roman" w:eastAsia="Times New Roman" w:hAnsi="Times New Roman" w:cs="Times New Roman"/>
          <w:sz w:val="28"/>
          <w:szCs w:val="28"/>
        </w:rPr>
        <w:t>” на проведення заходів.</w:t>
      </w:r>
    </w:p>
    <w:p w:rsidR="00802AF4" w:rsidRDefault="0058448F" w:rsidP="00802AF4">
      <w:pPr>
        <w:ind w:firstLine="743"/>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Протягом 2022-2024 років планується досягти наступних результатів: </w:t>
      </w:r>
    </w:p>
    <w:p w:rsidR="00802AF4" w:rsidRDefault="0058448F" w:rsidP="00802AF4">
      <w:pPr>
        <w:ind w:firstLine="743"/>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запровадження системи державних стандартів щодо надання культурних послуг населенню; </w:t>
      </w:r>
    </w:p>
    <w:p w:rsidR="00802AF4" w:rsidRDefault="0058448F" w:rsidP="00802AF4">
      <w:pPr>
        <w:ind w:firstLine="743"/>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забезпечення належних умов збереження музейних предметів; </w:t>
      </w:r>
    </w:p>
    <w:p w:rsidR="00802AF4" w:rsidRDefault="0058448F" w:rsidP="00802AF4">
      <w:pPr>
        <w:ind w:firstLine="743"/>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збільшення туристичного потоку;</w:t>
      </w:r>
      <w:r w:rsidR="00802AF4">
        <w:rPr>
          <w:rFonts w:ascii="Times New Roman" w:eastAsia="Times New Roman" w:hAnsi="Times New Roman" w:cs="Times New Roman"/>
          <w:color w:val="auto"/>
          <w:sz w:val="28"/>
          <w:szCs w:val="28"/>
        </w:rPr>
        <w:t xml:space="preserve"> </w:t>
      </w:r>
    </w:p>
    <w:p w:rsidR="00802AF4" w:rsidRDefault="00802AF4" w:rsidP="00A91C18">
      <w:pPr>
        <w:ind w:firstLine="743"/>
        <w:jc w:val="both"/>
        <w:rPr>
          <w:rFonts w:ascii="Times New Roman" w:eastAsia="Times New Roman" w:hAnsi="Times New Roman" w:cs="Times New Roman"/>
          <w:sz w:val="28"/>
          <w:szCs w:val="28"/>
          <w:bdr w:val="none" w:sz="0" w:space="0" w:color="auto" w:frame="1"/>
          <w:lang w:bidi="ar-SA"/>
        </w:rPr>
      </w:pPr>
      <w:r w:rsidRPr="00802AF4">
        <w:rPr>
          <w:rFonts w:ascii="Times New Roman" w:eastAsia="Times New Roman" w:hAnsi="Times New Roman" w:cs="Times New Roman"/>
          <w:sz w:val="28"/>
          <w:szCs w:val="28"/>
          <w:bdr w:val="none" w:sz="0" w:space="0" w:color="auto" w:frame="1"/>
          <w:lang w:bidi="ar-SA"/>
        </w:rPr>
        <w:t>впровадження гендерно-орієнтованого бюджетування для підвищення ефективності використання бюджетних коштів, що спрямовуються на галузь із урахуванням потреб різних груп споживачів послуг, які надаватимуться закладами культури.</w:t>
      </w:r>
    </w:p>
    <w:p w:rsidR="00A91C18" w:rsidRPr="00802AF4" w:rsidRDefault="00A91C18" w:rsidP="00A91C18">
      <w:pPr>
        <w:ind w:firstLine="743"/>
        <w:jc w:val="both"/>
        <w:rPr>
          <w:rFonts w:ascii="Times New Roman" w:eastAsia="Times New Roman" w:hAnsi="Times New Roman" w:cs="Times New Roman"/>
          <w:color w:val="auto"/>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Фізична культура та спорт</w:t>
      </w:r>
    </w:p>
    <w:p w:rsidR="0058448F" w:rsidRPr="0058448F" w:rsidRDefault="0058448F" w:rsidP="00A91C18">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Цілями громади у сфері фізичної культури та спорту реалізує головний розпорядник бюджетних коштів відділ </w:t>
      </w:r>
      <w:r w:rsidR="00CE3E8A" w:rsidRPr="00CE3E8A">
        <w:rPr>
          <w:rFonts w:ascii="Times New Roman" w:eastAsia="Times New Roman" w:hAnsi="Times New Roman" w:cs="Times New Roman"/>
          <w:sz w:val="28"/>
          <w:szCs w:val="28"/>
        </w:rPr>
        <w:t xml:space="preserve">культури, туризму, молоді та спорту </w:t>
      </w:r>
      <w:r w:rsidRPr="0058448F">
        <w:rPr>
          <w:rFonts w:ascii="Times New Roman" w:eastAsia="Times New Roman" w:hAnsi="Times New Roman" w:cs="Times New Roman"/>
          <w:sz w:val="28"/>
          <w:szCs w:val="28"/>
        </w:rPr>
        <w:t>(додаток 6).</w:t>
      </w:r>
    </w:p>
    <w:p w:rsidR="0058448F" w:rsidRPr="0058448F" w:rsidRDefault="0058448F" w:rsidP="0058448F">
      <w:pPr>
        <w:ind w:firstLine="7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Зміцнення фізичного здоров'я населення, формування здорового способу життя, залучення дітей та молоді до занять фізичною культурою та спортом та досягнення високих спортивних результатів це одне із завдань.</w:t>
      </w:r>
    </w:p>
    <w:p w:rsidR="0058448F" w:rsidRPr="0058448F" w:rsidRDefault="0058448F" w:rsidP="0058448F">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Прогнозні граничні показники видатків головним розпорядником коштів направлені на реалізацію бюджетної програми КПКВ 5031 «Утримання та навчально-тренувальна робота комунальних дитячо-юнацьких спортивних шкіл» в якій навчається </w:t>
      </w:r>
      <w:r w:rsidR="00CE3E8A">
        <w:rPr>
          <w:rFonts w:ascii="Times New Roman" w:eastAsia="Times New Roman" w:hAnsi="Times New Roman" w:cs="Times New Roman"/>
          <w:sz w:val="28"/>
          <w:szCs w:val="28"/>
        </w:rPr>
        <w:t>253</w:t>
      </w:r>
      <w:r w:rsidRPr="0058448F">
        <w:rPr>
          <w:rFonts w:ascii="Times New Roman" w:eastAsia="Times New Roman" w:hAnsi="Times New Roman" w:cs="Times New Roman"/>
          <w:sz w:val="28"/>
          <w:szCs w:val="28"/>
        </w:rPr>
        <w:t xml:space="preserve"> д</w:t>
      </w:r>
      <w:r w:rsidR="00CE3E8A">
        <w:rPr>
          <w:rFonts w:ascii="Times New Roman" w:eastAsia="Times New Roman" w:hAnsi="Times New Roman" w:cs="Times New Roman"/>
          <w:sz w:val="28"/>
          <w:szCs w:val="28"/>
        </w:rPr>
        <w:t xml:space="preserve">итини </w:t>
      </w:r>
      <w:r w:rsidRPr="0058448F">
        <w:rPr>
          <w:rFonts w:ascii="Times New Roman" w:eastAsia="Times New Roman" w:hAnsi="Times New Roman" w:cs="Times New Roman"/>
          <w:sz w:val="28"/>
          <w:szCs w:val="28"/>
        </w:rPr>
        <w:t>із них хлопців - 2</w:t>
      </w:r>
      <w:r w:rsidR="00CE3E8A">
        <w:rPr>
          <w:rFonts w:ascii="Times New Roman" w:eastAsia="Times New Roman" w:hAnsi="Times New Roman" w:cs="Times New Roman"/>
          <w:sz w:val="28"/>
          <w:szCs w:val="28"/>
        </w:rPr>
        <w:t>31</w:t>
      </w:r>
      <w:r w:rsidRPr="0058448F">
        <w:rPr>
          <w:rFonts w:ascii="Times New Roman" w:eastAsia="Times New Roman" w:hAnsi="Times New Roman" w:cs="Times New Roman"/>
          <w:sz w:val="28"/>
          <w:szCs w:val="28"/>
        </w:rPr>
        <w:t xml:space="preserve">, дівчат - </w:t>
      </w:r>
      <w:r w:rsidR="00CE3E8A">
        <w:rPr>
          <w:rFonts w:ascii="Times New Roman" w:eastAsia="Times New Roman" w:hAnsi="Times New Roman" w:cs="Times New Roman"/>
          <w:sz w:val="28"/>
          <w:szCs w:val="28"/>
        </w:rPr>
        <w:t>22</w:t>
      </w:r>
      <w:r w:rsidRPr="0058448F">
        <w:rPr>
          <w:rFonts w:ascii="Times New Roman" w:eastAsia="Times New Roman" w:hAnsi="Times New Roman" w:cs="Times New Roman"/>
          <w:sz w:val="28"/>
          <w:szCs w:val="28"/>
        </w:rPr>
        <w:t>. та на проведення навчально-тренувальних зборів і змагань, КПКВ 501</w:t>
      </w:r>
      <w:r w:rsidR="00CE3E8A">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w:t>
      </w:r>
      <w:r w:rsidR="00CE3E8A" w:rsidRPr="00CE3E8A">
        <w:rPr>
          <w:rFonts w:ascii="Times New Roman" w:eastAsia="Times New Roman" w:hAnsi="Times New Roman" w:cs="Times New Roman"/>
          <w:sz w:val="28"/>
          <w:szCs w:val="28"/>
        </w:rPr>
        <w:t>Проведення навчально-тренувальних зборів і змагань з олімпійських видів спорту</w:t>
      </w:r>
      <w:r w:rsidRPr="0058448F">
        <w:rPr>
          <w:rFonts w:ascii="Times New Roman" w:eastAsia="Times New Roman" w:hAnsi="Times New Roman" w:cs="Times New Roman"/>
          <w:sz w:val="28"/>
          <w:szCs w:val="28"/>
        </w:rPr>
        <w:t>».</w:t>
      </w:r>
    </w:p>
    <w:p w:rsidR="00CE3E8A" w:rsidRDefault="0058448F" w:rsidP="00CE3E8A">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Протягом 2022-2024 років планується досягти наступних результатів:</w:t>
      </w:r>
    </w:p>
    <w:p w:rsidR="00CE3E8A" w:rsidRDefault="0058448F" w:rsidP="00CE3E8A">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створення безпечних умов для залучення широких верств населення до масового спорту; </w:t>
      </w:r>
    </w:p>
    <w:p w:rsidR="0058448F" w:rsidRDefault="0058448F" w:rsidP="00A91C18">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удосконалення механізму утримання мережі сучасних спортивних споруд.</w:t>
      </w:r>
    </w:p>
    <w:p w:rsidR="00A91C18" w:rsidRPr="0058448F" w:rsidRDefault="00A91C18" w:rsidP="00A91C18">
      <w:pPr>
        <w:ind w:firstLine="601"/>
        <w:jc w:val="both"/>
        <w:rPr>
          <w:rFonts w:ascii="Times New Roman" w:eastAsia="Times New Roman" w:hAnsi="Times New Roman" w:cs="Times New Roman"/>
          <w:color w:val="auto"/>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bookmarkStart w:id="3" w:name="bookmark24"/>
      <w:bookmarkStart w:id="4" w:name="bookmark25"/>
      <w:r w:rsidRPr="0058448F">
        <w:rPr>
          <w:rFonts w:ascii="Times New Roman" w:eastAsia="Times New Roman" w:hAnsi="Times New Roman" w:cs="Times New Roman"/>
          <w:b/>
          <w:bCs/>
          <w:sz w:val="28"/>
          <w:szCs w:val="28"/>
        </w:rPr>
        <w:t>Житлово-комунальне господарство</w:t>
      </w:r>
      <w:bookmarkEnd w:id="3"/>
      <w:bookmarkEnd w:id="4"/>
    </w:p>
    <w:p w:rsidR="0058448F" w:rsidRPr="0058448F" w:rsidRDefault="0058448F" w:rsidP="00A91C18">
      <w:pPr>
        <w:ind w:firstLine="8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Пріоритетними цілями селищної ради у сфері житлово-комунального господарства у 2022-2024 роках є створення умов щодо утримання, відновлення і захисту сприятливого для життєдіяльності населення середовища та забезпечення населення якісними житлово-комунальними послугами.</w:t>
      </w:r>
    </w:p>
    <w:p w:rsidR="00CE3E8A" w:rsidRDefault="0058448F" w:rsidP="0058448F">
      <w:pPr>
        <w:ind w:firstLine="70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Метою є здійснення заходів щодо підвищення ефективності та надійності функціонування житлово-комунального господарства, задоволення потреб населення у наданні житлово-комунальних послуг належної якості, що відповідає вимогам державних стандартів. </w:t>
      </w:r>
    </w:p>
    <w:p w:rsidR="00CE3E8A" w:rsidRDefault="00CE3E8A" w:rsidP="0058448F">
      <w:pPr>
        <w:ind w:firstLine="700"/>
        <w:jc w:val="both"/>
        <w:rPr>
          <w:rFonts w:ascii="Times New Roman" w:eastAsia="Times New Roman" w:hAnsi="Times New Roman" w:cs="Times New Roman"/>
          <w:sz w:val="28"/>
          <w:szCs w:val="28"/>
        </w:rPr>
      </w:pPr>
      <w:r w:rsidRPr="00CE3E8A">
        <w:rPr>
          <w:rFonts w:ascii="Times New Roman" w:eastAsia="Times New Roman" w:hAnsi="Times New Roman" w:cs="Times New Roman"/>
          <w:sz w:val="28"/>
          <w:szCs w:val="28"/>
        </w:rPr>
        <w:t>Пріоритетними завданнями галузі будуть: утримання та проведення ремонтів об’єктів благоустрою громади, утримання та обслуговування вуличного освітлення, мережі водопроводу, виконання інших заходів місцевих програм з благоустрою.</w:t>
      </w:r>
    </w:p>
    <w:p w:rsidR="0058448F" w:rsidRPr="0058448F" w:rsidRDefault="0058448F" w:rsidP="00CE3E8A">
      <w:pPr>
        <w:ind w:firstLine="4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завдання: підвищення якості житлово-комунальних послуг:</w:t>
      </w:r>
    </w:p>
    <w:p w:rsidR="0058448F" w:rsidRPr="0058448F" w:rsidRDefault="0058448F" w:rsidP="0058448F">
      <w:pPr>
        <w:ind w:firstLine="4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створення сприятливих умов для беззбиткової діяльності підприємств житлово- комунального господарства, накопичення інвестиційних ресурсів для технічного переоснащення та розвитку житлово-комунальної інфраструктури;</w:t>
      </w:r>
    </w:p>
    <w:p w:rsidR="00CE3E8A" w:rsidRDefault="0058448F" w:rsidP="00CE3E8A">
      <w:pPr>
        <w:ind w:firstLine="482"/>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покращення якості зовнішнього освітлення у громаді; </w:t>
      </w:r>
    </w:p>
    <w:p w:rsidR="0058448F" w:rsidRDefault="0058448F" w:rsidP="00CE3E8A">
      <w:pPr>
        <w:ind w:firstLine="482"/>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впровадження ефективного енергозберігаючого обладнання; облаштування та благоустрій зупинок громадського транспорту; забезпечення умов для зменшення кількості безпритульних тварин.</w:t>
      </w:r>
    </w:p>
    <w:p w:rsidR="006F0C5A" w:rsidRPr="0058448F" w:rsidRDefault="006F0C5A" w:rsidP="00CE3E8A">
      <w:pPr>
        <w:ind w:firstLine="482"/>
        <w:jc w:val="both"/>
        <w:rPr>
          <w:rFonts w:ascii="Times New Roman" w:eastAsia="Times New Roman" w:hAnsi="Times New Roman" w:cs="Times New Roman"/>
          <w:color w:val="auto"/>
          <w:sz w:val="28"/>
          <w:szCs w:val="28"/>
        </w:rPr>
      </w:pP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bookmarkStart w:id="5" w:name="bookmark26"/>
      <w:bookmarkStart w:id="6" w:name="bookmark27"/>
      <w:r w:rsidRPr="0058448F">
        <w:rPr>
          <w:rFonts w:ascii="Times New Roman" w:eastAsia="Times New Roman" w:hAnsi="Times New Roman" w:cs="Times New Roman"/>
          <w:b/>
          <w:bCs/>
          <w:sz w:val="28"/>
          <w:szCs w:val="28"/>
        </w:rPr>
        <w:t>Дорожньо-транспортний комплекс</w:t>
      </w:r>
      <w:bookmarkEnd w:id="5"/>
      <w:bookmarkEnd w:id="6"/>
    </w:p>
    <w:p w:rsidR="0058448F" w:rsidRPr="0058448F" w:rsidRDefault="0058448F" w:rsidP="006F0C5A">
      <w:pPr>
        <w:spacing w:line="233" w:lineRule="auto"/>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Цілями громади у сфері дорожньо-транспортної інфраструктури у прогнозному періоді 2022-2024 рр. є поліпшення наявних та побудова нових об’єктів для потреб економічного розвитку й підвищення якості життя громадян.</w:t>
      </w:r>
    </w:p>
    <w:p w:rsidR="0058448F" w:rsidRPr="0058448F" w:rsidRDefault="0058448F" w:rsidP="00DC72C4">
      <w:pPr>
        <w:spacing w:line="233" w:lineRule="auto"/>
        <w:ind w:firstLine="4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У 2022 - 2024 роках передбачається здійснити заходи:</w:t>
      </w:r>
    </w:p>
    <w:p w:rsidR="0058448F" w:rsidRPr="0058448F" w:rsidRDefault="006F0C5A" w:rsidP="00DC72C4">
      <w:pPr>
        <w:tabs>
          <w:tab w:val="left" w:pos="788"/>
        </w:tabs>
        <w:spacing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ремонт й</w:t>
      </w:r>
      <w:r>
        <w:rPr>
          <w:rFonts w:ascii="Times New Roman" w:eastAsia="Times New Roman" w:hAnsi="Times New Roman" w:cs="Times New Roman"/>
          <w:sz w:val="28"/>
          <w:szCs w:val="28"/>
        </w:rPr>
        <w:t xml:space="preserve"> утримання автомобільних доріг</w:t>
      </w:r>
      <w:r w:rsidR="0058448F" w:rsidRPr="0058448F">
        <w:rPr>
          <w:rFonts w:ascii="Times New Roman" w:eastAsia="Times New Roman" w:hAnsi="Times New Roman" w:cs="Times New Roman"/>
          <w:sz w:val="28"/>
          <w:szCs w:val="28"/>
        </w:rPr>
        <w:t>;</w:t>
      </w:r>
    </w:p>
    <w:p w:rsidR="0058448F" w:rsidRPr="0058448F" w:rsidRDefault="0058448F" w:rsidP="00DC72C4">
      <w:pPr>
        <w:spacing w:line="233" w:lineRule="auto"/>
        <w:ind w:firstLine="70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освітлення населених пунктів із застосуванням альтернативних видів енергії;</w:t>
      </w:r>
    </w:p>
    <w:p w:rsidR="00DC72C4" w:rsidRDefault="00DC72C4" w:rsidP="00DC72C4">
      <w:pPr>
        <w:tabs>
          <w:tab w:val="left" w:pos="785"/>
        </w:tabs>
        <w:spacing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розробка довгострокових програм, перспективних планів утримання та розвитку дорожнього господарства;</w:t>
      </w:r>
    </w:p>
    <w:p w:rsidR="00DC72C4" w:rsidRDefault="00DC72C4" w:rsidP="00DC72C4">
      <w:pPr>
        <w:tabs>
          <w:tab w:val="left" w:pos="785"/>
        </w:tabs>
        <w:spacing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розвиток транспортно</w:t>
      </w:r>
      <w:r w:rsidR="006F0C5A">
        <w:rPr>
          <w:rFonts w:ascii="Times New Roman" w:eastAsia="Times New Roman" w:hAnsi="Times New Roman" w:cs="Times New Roman"/>
          <w:sz w:val="28"/>
          <w:szCs w:val="28"/>
        </w:rPr>
        <w:t>ї інфраструктури селищної ради</w:t>
      </w:r>
      <w:r w:rsidR="0058448F" w:rsidRPr="0058448F">
        <w:rPr>
          <w:rFonts w:ascii="Times New Roman" w:eastAsia="Times New Roman" w:hAnsi="Times New Roman" w:cs="Times New Roman"/>
          <w:sz w:val="28"/>
          <w:szCs w:val="28"/>
        </w:rPr>
        <w:t>;</w:t>
      </w:r>
    </w:p>
    <w:p w:rsidR="0058448F" w:rsidRPr="0058448F" w:rsidRDefault="00DC72C4" w:rsidP="00DC72C4">
      <w:pPr>
        <w:tabs>
          <w:tab w:val="left" w:pos="785"/>
        </w:tabs>
        <w:spacing w:after="260"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створення конкурентного середовища у сфері дорожнього господарства.</w:t>
      </w: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bookmarkStart w:id="7" w:name="bookmark28"/>
      <w:bookmarkStart w:id="8" w:name="bookmark29"/>
      <w:r w:rsidRPr="0058448F">
        <w:rPr>
          <w:rFonts w:ascii="Times New Roman" w:eastAsia="Times New Roman" w:hAnsi="Times New Roman" w:cs="Times New Roman"/>
          <w:b/>
          <w:bCs/>
          <w:sz w:val="28"/>
          <w:szCs w:val="28"/>
        </w:rPr>
        <w:t>Охорона навколишнього природного середовища</w:t>
      </w:r>
      <w:bookmarkEnd w:id="7"/>
      <w:bookmarkEnd w:id="8"/>
    </w:p>
    <w:p w:rsidR="0058448F" w:rsidRPr="0058448F" w:rsidRDefault="0058448F" w:rsidP="006F0C5A">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Пріоритетними цілями у сфері охорони навколишнього природного середовища є забезпечення охорони довкілля та раціонального використання природних ресурсів;</w:t>
      </w:r>
    </w:p>
    <w:p w:rsidR="0058448F" w:rsidRPr="0058448F" w:rsidRDefault="0058448F" w:rsidP="0058448F">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передбачається здійснити заходи щодо забезпечення охорони та раціонального використання наявних на території селищної ради природних ресурсів, мінімізації шкідливого впливу на довкілля небезпечних відходів;</w:t>
      </w:r>
    </w:p>
    <w:p w:rsidR="0058448F" w:rsidRPr="0058448F" w:rsidRDefault="0058448F" w:rsidP="0058448F">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 рахунок екологічного податку та грошових стягнень за шкоду, заподіяну порушенням законодавства про охорону навколишнього природного середовища в результаті господарської та іншої діяльності, та інших надходжень до селищного бюджету згідно з чинним законодавством у 2022-2024 роках здійснюватимуться заходи, направлені па охорону та раціональне використання природних ресурсів, збирання та сортування твердих побутових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58448F" w:rsidRPr="0058448F" w:rsidRDefault="0058448F" w:rsidP="0058448F">
      <w:pPr>
        <w:ind w:firstLine="8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Конкретні показники обсягу видатків на 2022-2024 роки будуть </w:t>
      </w:r>
      <w:r w:rsidR="00FC7B33" w:rsidRPr="0058448F">
        <w:rPr>
          <w:rFonts w:ascii="Times New Roman" w:eastAsia="Times New Roman" w:hAnsi="Times New Roman" w:cs="Times New Roman"/>
          <w:sz w:val="28"/>
          <w:szCs w:val="28"/>
        </w:rPr>
        <w:t>уточнювати</w:t>
      </w:r>
      <w:r w:rsidRPr="0058448F">
        <w:rPr>
          <w:rFonts w:ascii="Times New Roman" w:eastAsia="Times New Roman" w:hAnsi="Times New Roman" w:cs="Times New Roman"/>
          <w:sz w:val="28"/>
          <w:szCs w:val="28"/>
        </w:rPr>
        <w:t xml:space="preserve"> залежно від реальних можливостей бюджету на відповідні роки.</w:t>
      </w:r>
    </w:p>
    <w:p w:rsidR="0058448F" w:rsidRPr="0058448F" w:rsidRDefault="0058448F" w:rsidP="0058448F">
      <w:pPr>
        <w:spacing w:after="260"/>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Результат створення комфортного для проживання середовища шляхом покращення екологічного стану.</w:t>
      </w:r>
    </w:p>
    <w:p w:rsidR="0058448F" w:rsidRPr="0058448F" w:rsidRDefault="0058448F" w:rsidP="006F0C5A">
      <w:pPr>
        <w:keepNext/>
        <w:keepLines/>
        <w:numPr>
          <w:ilvl w:val="0"/>
          <w:numId w:val="6"/>
        </w:numPr>
        <w:tabs>
          <w:tab w:val="left" w:pos="538"/>
        </w:tabs>
        <w:jc w:val="center"/>
        <w:outlineLvl w:val="1"/>
        <w:rPr>
          <w:rFonts w:ascii="Times New Roman" w:eastAsia="Times New Roman" w:hAnsi="Times New Roman" w:cs="Times New Roman"/>
          <w:b/>
          <w:bCs/>
          <w:color w:val="auto"/>
          <w:sz w:val="28"/>
          <w:szCs w:val="28"/>
        </w:rPr>
      </w:pPr>
      <w:bookmarkStart w:id="9" w:name="bookmark30"/>
      <w:bookmarkStart w:id="10" w:name="bookmark31"/>
      <w:r w:rsidRPr="0058448F">
        <w:rPr>
          <w:rFonts w:ascii="Times New Roman" w:eastAsia="Times New Roman" w:hAnsi="Times New Roman" w:cs="Times New Roman"/>
          <w:b/>
          <w:bCs/>
          <w:sz w:val="28"/>
          <w:szCs w:val="28"/>
        </w:rPr>
        <w:t>Бюджет розвитку</w:t>
      </w:r>
      <w:bookmarkEnd w:id="9"/>
      <w:bookmarkEnd w:id="10"/>
    </w:p>
    <w:p w:rsidR="0058448F" w:rsidRPr="0058448F" w:rsidRDefault="0058448F" w:rsidP="006F0C5A">
      <w:pPr>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Обсяги капітальних вкладень у розрізі інвестиційних проектів та показники бюджету розвитку за основними видами надходжень та орієнтовними обсягами витрат у середньостроковому періоді наведені у додатках 9. 10.</w:t>
      </w:r>
    </w:p>
    <w:p w:rsidR="0058448F" w:rsidRDefault="0058448F" w:rsidP="00FC7B33">
      <w:pPr>
        <w:ind w:firstLine="658"/>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Результат для покращення</w:t>
      </w:r>
      <w:r w:rsidR="00FC7B33">
        <w:rPr>
          <w:rFonts w:ascii="Times New Roman" w:eastAsia="Times New Roman" w:hAnsi="Times New Roman" w:cs="Times New Roman"/>
          <w:sz w:val="28"/>
          <w:szCs w:val="28"/>
        </w:rPr>
        <w:t xml:space="preserve"> стану автомобільних доріг</w:t>
      </w:r>
      <w:r w:rsidRPr="0058448F">
        <w:rPr>
          <w:rFonts w:ascii="Times New Roman" w:eastAsia="Times New Roman" w:hAnsi="Times New Roman" w:cs="Times New Roman"/>
          <w:sz w:val="28"/>
          <w:szCs w:val="28"/>
        </w:rPr>
        <w:t xml:space="preserve"> </w:t>
      </w:r>
      <w:r w:rsidR="00FC7B33">
        <w:rPr>
          <w:rFonts w:ascii="Times New Roman" w:eastAsia="Times New Roman" w:hAnsi="Times New Roman" w:cs="Times New Roman"/>
          <w:sz w:val="28"/>
          <w:szCs w:val="28"/>
        </w:rPr>
        <w:t>комунальної власності гром</w:t>
      </w:r>
      <w:r w:rsidRPr="0058448F">
        <w:rPr>
          <w:rFonts w:ascii="Times New Roman" w:eastAsia="Times New Roman" w:hAnsi="Times New Roman" w:cs="Times New Roman"/>
          <w:sz w:val="28"/>
          <w:szCs w:val="28"/>
        </w:rPr>
        <w:t>ади та оновлення матеріально-технічної бази селищної ради.</w:t>
      </w:r>
    </w:p>
    <w:p w:rsidR="00FC7B33" w:rsidRDefault="00FC7B33" w:rsidP="00FC7B33">
      <w:pPr>
        <w:ind w:firstLine="658"/>
        <w:jc w:val="both"/>
        <w:rPr>
          <w:rFonts w:ascii="Times New Roman" w:eastAsia="Times New Roman" w:hAnsi="Times New Roman" w:cs="Times New Roman"/>
          <w:color w:val="auto"/>
          <w:sz w:val="28"/>
          <w:szCs w:val="28"/>
        </w:rPr>
      </w:pPr>
      <w:r w:rsidRPr="00FC7B33">
        <w:rPr>
          <w:rFonts w:ascii="Times New Roman" w:eastAsia="Times New Roman" w:hAnsi="Times New Roman" w:cs="Times New Roman"/>
          <w:color w:val="auto"/>
          <w:sz w:val="28"/>
          <w:szCs w:val="28"/>
        </w:rPr>
        <w:t xml:space="preserve">Основним фінансовим джерелом реалізації інвестиційних проектів у 2022 - 2024 роках </w:t>
      </w:r>
      <w:r>
        <w:rPr>
          <w:rFonts w:ascii="Times New Roman" w:eastAsia="Times New Roman" w:hAnsi="Times New Roman" w:cs="Times New Roman"/>
          <w:color w:val="auto"/>
          <w:sz w:val="28"/>
          <w:szCs w:val="28"/>
        </w:rPr>
        <w:t xml:space="preserve">надходження </w:t>
      </w:r>
      <w:r w:rsidRPr="00FC7B33">
        <w:rPr>
          <w:rFonts w:ascii="Times New Roman" w:eastAsia="Times New Roman" w:hAnsi="Times New Roman" w:cs="Times New Roman"/>
          <w:color w:val="auto"/>
          <w:sz w:val="28"/>
          <w:szCs w:val="28"/>
        </w:rPr>
        <w:t xml:space="preserve">до бюджету розвитку спеціального фонду бюджету </w:t>
      </w:r>
      <w:r>
        <w:rPr>
          <w:rFonts w:ascii="Times New Roman" w:eastAsia="Times New Roman" w:hAnsi="Times New Roman" w:cs="Times New Roman"/>
          <w:color w:val="auto"/>
          <w:sz w:val="28"/>
          <w:szCs w:val="28"/>
        </w:rPr>
        <w:t>селищної</w:t>
      </w:r>
      <w:r w:rsidRPr="00FC7B33">
        <w:rPr>
          <w:rFonts w:ascii="Times New Roman" w:eastAsia="Times New Roman" w:hAnsi="Times New Roman" w:cs="Times New Roman"/>
          <w:color w:val="auto"/>
          <w:sz w:val="28"/>
          <w:szCs w:val="28"/>
        </w:rPr>
        <w:t xml:space="preserve"> територіальної громади</w:t>
      </w:r>
      <w:r w:rsidRPr="00FC7B33">
        <w:t xml:space="preserve"> </w:t>
      </w:r>
      <w:r>
        <w:t>к</w:t>
      </w:r>
      <w:r w:rsidRPr="00FC7B33">
        <w:rPr>
          <w:rFonts w:ascii="Times New Roman" w:eastAsia="Times New Roman" w:hAnsi="Times New Roman" w:cs="Times New Roman"/>
          <w:color w:val="auto"/>
          <w:sz w:val="28"/>
          <w:szCs w:val="28"/>
        </w:rPr>
        <w:t>ошт</w:t>
      </w:r>
      <w:r>
        <w:rPr>
          <w:rFonts w:ascii="Times New Roman" w:eastAsia="Times New Roman" w:hAnsi="Times New Roman" w:cs="Times New Roman"/>
          <w:color w:val="auto"/>
          <w:sz w:val="28"/>
          <w:szCs w:val="28"/>
        </w:rPr>
        <w:t>ів</w:t>
      </w:r>
      <w:r w:rsidRPr="00FC7B33">
        <w:rPr>
          <w:rFonts w:ascii="Times New Roman" w:eastAsia="Times New Roman" w:hAnsi="Times New Roman" w:cs="Times New Roman"/>
          <w:color w:val="auto"/>
          <w:sz w:val="28"/>
          <w:szCs w:val="28"/>
        </w:rPr>
        <w:t xml:space="preserve">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p w:rsidR="00FC7B33" w:rsidRPr="0058448F" w:rsidRDefault="00FC7B33" w:rsidP="00FC7B33">
      <w:pPr>
        <w:ind w:firstLine="658"/>
        <w:jc w:val="both"/>
        <w:rPr>
          <w:rFonts w:ascii="Times New Roman" w:eastAsia="Times New Roman" w:hAnsi="Times New Roman" w:cs="Times New Roman"/>
          <w:color w:val="auto"/>
          <w:sz w:val="28"/>
          <w:szCs w:val="28"/>
        </w:rPr>
      </w:pPr>
    </w:p>
    <w:p w:rsidR="00043C5B" w:rsidRPr="00043C5B" w:rsidRDefault="0058448F" w:rsidP="00043C5B">
      <w:pPr>
        <w:keepNext/>
        <w:keepLines/>
        <w:numPr>
          <w:ilvl w:val="0"/>
          <w:numId w:val="6"/>
        </w:numPr>
        <w:tabs>
          <w:tab w:val="left" w:pos="630"/>
        </w:tabs>
        <w:ind w:firstLine="658"/>
        <w:jc w:val="center"/>
        <w:outlineLvl w:val="1"/>
        <w:rPr>
          <w:rFonts w:ascii="Times New Roman" w:eastAsia="Times New Roman" w:hAnsi="Times New Roman" w:cs="Times New Roman"/>
          <w:color w:val="auto"/>
          <w:sz w:val="28"/>
          <w:szCs w:val="28"/>
        </w:rPr>
      </w:pPr>
      <w:bookmarkStart w:id="11" w:name="bookmark32"/>
      <w:bookmarkStart w:id="12" w:name="bookmark33"/>
      <w:r w:rsidRPr="00043C5B">
        <w:rPr>
          <w:rFonts w:ascii="Times New Roman" w:eastAsia="Times New Roman" w:hAnsi="Times New Roman" w:cs="Times New Roman"/>
          <w:b/>
          <w:bCs/>
          <w:sz w:val="28"/>
          <w:szCs w:val="28"/>
        </w:rPr>
        <w:t>Взаємовідносини бюджету з іншими бюджетами</w:t>
      </w:r>
      <w:bookmarkEnd w:id="11"/>
      <w:bookmarkEnd w:id="12"/>
    </w:p>
    <w:p w:rsidR="0058448F" w:rsidRPr="00043C5B" w:rsidRDefault="00043C5B" w:rsidP="00043C5B">
      <w:pPr>
        <w:keepNext/>
        <w:keepLines/>
        <w:tabs>
          <w:tab w:val="left" w:pos="630"/>
        </w:tabs>
        <w:jc w:val="both"/>
        <w:outlineLvl w:val="1"/>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043C5B">
        <w:rPr>
          <w:rFonts w:ascii="Times New Roman" w:eastAsia="Times New Roman" w:hAnsi="Times New Roman" w:cs="Times New Roman"/>
          <w:sz w:val="28"/>
          <w:szCs w:val="28"/>
        </w:rPr>
        <w:t xml:space="preserve">Обсяги міжбюджетних трансфертів з інших бюджетів до селищного бюджету </w:t>
      </w:r>
      <w:r w:rsidR="00EE4716" w:rsidRPr="00043C5B">
        <w:rPr>
          <w:rFonts w:ascii="Times New Roman" w:eastAsia="Times New Roman" w:hAnsi="Times New Roman" w:cs="Times New Roman"/>
          <w:sz w:val="28"/>
          <w:szCs w:val="28"/>
        </w:rPr>
        <w:t xml:space="preserve">Романівської </w:t>
      </w:r>
      <w:r w:rsidR="0058448F" w:rsidRPr="00043C5B">
        <w:rPr>
          <w:rFonts w:ascii="Times New Roman" w:eastAsia="Times New Roman" w:hAnsi="Times New Roman" w:cs="Times New Roman"/>
          <w:sz w:val="28"/>
          <w:szCs w:val="28"/>
        </w:rPr>
        <w:t>селищної ради на 2022-2024 роки характеризуються у додатку 11.</w:t>
      </w:r>
    </w:p>
    <w:p w:rsidR="0058448F" w:rsidRPr="0058448F" w:rsidRDefault="0058448F" w:rsidP="00043C5B">
      <w:pPr>
        <w:ind w:firstLine="65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Згідно Бюджетної декларації, прийнятої Верховною Радою України 15 липня 2021 року визначено такі обсяги трансфертів: базова дотація, освітня субвенція з державного бюджету місцевим бюджетам,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субвенція з місцевого бюджету на здійснення переданих видатків у сфері освіти за рах</w:t>
      </w:r>
      <w:r w:rsidR="001849ED">
        <w:rPr>
          <w:rFonts w:ascii="Times New Roman" w:eastAsia="Times New Roman" w:hAnsi="Times New Roman" w:cs="Times New Roman"/>
          <w:sz w:val="28"/>
          <w:szCs w:val="28"/>
        </w:rPr>
        <w:t>унок коштів освітньої субвенції</w:t>
      </w:r>
      <w:r w:rsidRPr="0058448F">
        <w:rPr>
          <w:rFonts w:ascii="Times New Roman" w:eastAsia="Times New Roman" w:hAnsi="Times New Roman" w:cs="Times New Roman"/>
          <w:sz w:val="28"/>
          <w:szCs w:val="28"/>
        </w:rPr>
        <w:t>.</w:t>
      </w:r>
    </w:p>
    <w:p w:rsidR="0058448F" w:rsidRDefault="003C14E5" w:rsidP="00043C5B">
      <w:pPr>
        <w:jc w:val="center"/>
        <w:rPr>
          <w:rFonts w:ascii="Times New Roman" w:eastAsia="Times New Roman" w:hAnsi="Times New Roman" w:cs="Times New Roman"/>
          <w:b/>
          <w:bCs/>
          <w:sz w:val="28"/>
          <w:szCs w:val="28"/>
        </w:rPr>
      </w:pPr>
      <w:r w:rsidRPr="0058448F">
        <w:rPr>
          <w:rFonts w:ascii="Times New Roman" w:eastAsia="Times New Roman" w:hAnsi="Times New Roman" w:cs="Times New Roman"/>
          <w:b/>
          <w:bCs/>
          <w:sz w:val="28"/>
          <w:szCs w:val="28"/>
        </w:rPr>
        <w:t>Міжбюджетні</w:t>
      </w:r>
      <w:r w:rsidR="0058448F" w:rsidRPr="0058448F">
        <w:rPr>
          <w:rFonts w:ascii="Times New Roman" w:eastAsia="Times New Roman" w:hAnsi="Times New Roman" w:cs="Times New Roman"/>
          <w:b/>
          <w:bCs/>
          <w:sz w:val="28"/>
          <w:szCs w:val="28"/>
        </w:rPr>
        <w:t xml:space="preserve"> трансферти з державного та </w:t>
      </w:r>
      <w:r w:rsidR="001B1D3D">
        <w:rPr>
          <w:rFonts w:ascii="Times New Roman" w:eastAsia="Times New Roman" w:hAnsi="Times New Roman" w:cs="Times New Roman"/>
          <w:b/>
          <w:bCs/>
          <w:sz w:val="28"/>
          <w:szCs w:val="28"/>
        </w:rPr>
        <w:t>інших</w:t>
      </w:r>
      <w:r w:rsidR="0058448F" w:rsidRPr="0058448F">
        <w:rPr>
          <w:rFonts w:ascii="Times New Roman" w:eastAsia="Times New Roman" w:hAnsi="Times New Roman" w:cs="Times New Roman"/>
          <w:b/>
          <w:bCs/>
          <w:sz w:val="28"/>
          <w:szCs w:val="28"/>
        </w:rPr>
        <w:t xml:space="preserve"> б</w:t>
      </w:r>
      <w:r w:rsidR="001B1D3D">
        <w:rPr>
          <w:rFonts w:ascii="Times New Roman" w:eastAsia="Times New Roman" w:hAnsi="Times New Roman" w:cs="Times New Roman"/>
          <w:b/>
          <w:bCs/>
          <w:sz w:val="28"/>
          <w:szCs w:val="28"/>
        </w:rPr>
        <w:t>юджетів</w:t>
      </w:r>
    </w:p>
    <w:p w:rsidR="0092659B" w:rsidRPr="0058448F" w:rsidRDefault="0092659B" w:rsidP="00043C5B">
      <w:pPr>
        <w:jc w:val="center"/>
        <w:rPr>
          <w:rFonts w:ascii="Times New Roman" w:eastAsia="Times New Roman" w:hAnsi="Times New Roman" w:cs="Times New Roman"/>
          <w:color w:val="auto"/>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098"/>
        <w:gridCol w:w="1275"/>
        <w:gridCol w:w="1418"/>
        <w:gridCol w:w="1275"/>
      </w:tblGrid>
      <w:tr w:rsidR="0058448F" w:rsidRPr="0092659B" w:rsidTr="00F03AAE">
        <w:trPr>
          <w:trHeight w:hRule="exact" w:val="307"/>
          <w:jc w:val="center"/>
        </w:trPr>
        <w:tc>
          <w:tcPr>
            <w:tcW w:w="5098" w:type="dxa"/>
            <w:tcBorders>
              <w:top w:val="single" w:sz="4" w:space="0" w:color="auto"/>
              <w:left w:val="single" w:sz="4" w:space="0" w:color="auto"/>
            </w:tcBorders>
            <w:shd w:val="clear" w:color="auto" w:fill="FFFFFF"/>
          </w:tcPr>
          <w:p w:rsidR="0058448F" w:rsidRPr="0092659B" w:rsidRDefault="00F03AAE" w:rsidP="00F03AAE">
            <w:pPr>
              <w:jc w:val="center"/>
              <w:rPr>
                <w:rFonts w:ascii="Times New Roman" w:hAnsi="Times New Roman" w:cs="Times New Roman"/>
              </w:rPr>
            </w:pPr>
            <w:r>
              <w:rPr>
                <w:rFonts w:ascii="Times New Roman" w:hAnsi="Times New Roman" w:cs="Times New Roman"/>
              </w:rPr>
              <w:t>Найменування трансферту</w:t>
            </w:r>
          </w:p>
        </w:tc>
        <w:tc>
          <w:tcPr>
            <w:tcW w:w="1275" w:type="dxa"/>
            <w:tcBorders>
              <w:top w:val="single" w:sz="4" w:space="0" w:color="auto"/>
              <w:left w:val="single" w:sz="4" w:space="0" w:color="auto"/>
            </w:tcBorders>
            <w:shd w:val="clear" w:color="auto" w:fill="FFFFFF"/>
            <w:vAlign w:val="bottom"/>
          </w:tcPr>
          <w:p w:rsidR="0058448F" w:rsidRPr="0092659B" w:rsidRDefault="0058448F" w:rsidP="00043C5B">
            <w:pPr>
              <w:jc w:val="center"/>
              <w:rPr>
                <w:rFonts w:ascii="Times New Roman" w:eastAsia="Times New Roman" w:hAnsi="Times New Roman" w:cs="Times New Roman"/>
                <w:color w:val="auto"/>
              </w:rPr>
            </w:pPr>
            <w:r w:rsidRPr="0092659B">
              <w:rPr>
                <w:rFonts w:ascii="Times New Roman" w:eastAsia="Times New Roman" w:hAnsi="Times New Roman" w:cs="Times New Roman"/>
              </w:rPr>
              <w:t>2022</w:t>
            </w:r>
          </w:p>
        </w:tc>
        <w:tc>
          <w:tcPr>
            <w:tcW w:w="1418" w:type="dxa"/>
            <w:tcBorders>
              <w:top w:val="single" w:sz="4" w:space="0" w:color="auto"/>
              <w:left w:val="single" w:sz="4" w:space="0" w:color="auto"/>
            </w:tcBorders>
            <w:shd w:val="clear" w:color="auto" w:fill="FFFFFF"/>
            <w:vAlign w:val="bottom"/>
          </w:tcPr>
          <w:p w:rsidR="0058448F" w:rsidRPr="0092659B" w:rsidRDefault="0058448F" w:rsidP="00043C5B">
            <w:pPr>
              <w:jc w:val="center"/>
              <w:rPr>
                <w:rFonts w:ascii="Times New Roman" w:eastAsia="Times New Roman" w:hAnsi="Times New Roman" w:cs="Times New Roman"/>
                <w:color w:val="auto"/>
              </w:rPr>
            </w:pPr>
            <w:r w:rsidRPr="0092659B">
              <w:rPr>
                <w:rFonts w:ascii="Times New Roman" w:eastAsia="Times New Roman" w:hAnsi="Times New Roman" w:cs="Times New Roman"/>
              </w:rPr>
              <w:t>2023</w:t>
            </w:r>
          </w:p>
        </w:tc>
        <w:tc>
          <w:tcPr>
            <w:tcW w:w="1275" w:type="dxa"/>
            <w:tcBorders>
              <w:top w:val="single" w:sz="4" w:space="0" w:color="auto"/>
              <w:left w:val="single" w:sz="4" w:space="0" w:color="auto"/>
              <w:right w:val="single" w:sz="4" w:space="0" w:color="auto"/>
            </w:tcBorders>
            <w:shd w:val="clear" w:color="auto" w:fill="FFFFFF"/>
            <w:vAlign w:val="bottom"/>
          </w:tcPr>
          <w:p w:rsidR="0058448F" w:rsidRPr="0092659B" w:rsidRDefault="0058448F" w:rsidP="00043C5B">
            <w:pPr>
              <w:jc w:val="center"/>
              <w:rPr>
                <w:rFonts w:ascii="Times New Roman" w:eastAsia="Times New Roman" w:hAnsi="Times New Roman" w:cs="Times New Roman"/>
                <w:color w:val="auto"/>
              </w:rPr>
            </w:pPr>
            <w:r w:rsidRPr="0092659B">
              <w:rPr>
                <w:rFonts w:ascii="Times New Roman" w:eastAsia="Times New Roman" w:hAnsi="Times New Roman" w:cs="Times New Roman"/>
              </w:rPr>
              <w:t>2024</w:t>
            </w:r>
          </w:p>
        </w:tc>
      </w:tr>
      <w:tr w:rsidR="0058448F" w:rsidRPr="0092659B" w:rsidTr="00F03AAE">
        <w:trPr>
          <w:trHeight w:hRule="exact" w:val="398"/>
          <w:jc w:val="center"/>
        </w:trPr>
        <w:tc>
          <w:tcPr>
            <w:tcW w:w="5098" w:type="dxa"/>
            <w:tcBorders>
              <w:top w:val="single" w:sz="4" w:space="0" w:color="auto"/>
              <w:left w:val="single" w:sz="4" w:space="0" w:color="auto"/>
            </w:tcBorders>
            <w:shd w:val="clear" w:color="auto" w:fill="FFFFFF"/>
            <w:vAlign w:val="center"/>
          </w:tcPr>
          <w:p w:rsidR="0058448F" w:rsidRPr="0092659B" w:rsidRDefault="0058448F" w:rsidP="00043C5B">
            <w:pPr>
              <w:rPr>
                <w:rFonts w:ascii="Times New Roman" w:eastAsia="Times New Roman" w:hAnsi="Times New Roman" w:cs="Times New Roman"/>
                <w:color w:val="auto"/>
              </w:rPr>
            </w:pPr>
            <w:r w:rsidRPr="0092659B">
              <w:rPr>
                <w:rFonts w:ascii="Times New Roman" w:eastAsia="Times New Roman" w:hAnsi="Times New Roman" w:cs="Times New Roman"/>
              </w:rPr>
              <w:t>Базова дотація</w:t>
            </w:r>
          </w:p>
        </w:tc>
        <w:tc>
          <w:tcPr>
            <w:tcW w:w="1275"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15 259 300</w:t>
            </w:r>
          </w:p>
        </w:tc>
        <w:tc>
          <w:tcPr>
            <w:tcW w:w="1418"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18 005 200</w:t>
            </w:r>
          </w:p>
        </w:tc>
        <w:tc>
          <w:tcPr>
            <w:tcW w:w="1275" w:type="dxa"/>
            <w:tcBorders>
              <w:top w:val="single" w:sz="4" w:space="0" w:color="auto"/>
              <w:left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21 256 700</w:t>
            </w:r>
          </w:p>
        </w:tc>
      </w:tr>
      <w:tr w:rsidR="0058448F" w:rsidRPr="0092659B" w:rsidTr="00F03AAE">
        <w:trPr>
          <w:trHeight w:hRule="exact" w:val="559"/>
          <w:jc w:val="center"/>
        </w:trPr>
        <w:tc>
          <w:tcPr>
            <w:tcW w:w="5098" w:type="dxa"/>
            <w:tcBorders>
              <w:top w:val="single" w:sz="4" w:space="0" w:color="auto"/>
              <w:left w:val="single" w:sz="4" w:space="0" w:color="auto"/>
              <w:bottom w:val="single" w:sz="4" w:space="0" w:color="auto"/>
            </w:tcBorders>
            <w:shd w:val="clear" w:color="auto" w:fill="FFFFFF"/>
          </w:tcPr>
          <w:p w:rsidR="0058448F" w:rsidRPr="0092659B" w:rsidRDefault="0092659B" w:rsidP="00043C5B">
            <w:pPr>
              <w:rPr>
                <w:rFonts w:ascii="Times New Roman" w:eastAsia="Times New Roman" w:hAnsi="Times New Roman" w:cs="Times New Roman"/>
                <w:color w:val="auto"/>
              </w:rPr>
            </w:pPr>
            <w:r>
              <w:rPr>
                <w:rFonts w:ascii="Times New Roman" w:eastAsia="Times New Roman" w:hAnsi="Times New Roman" w:cs="Times New Roman"/>
              </w:rPr>
              <w:t>Освітня субвенція з</w:t>
            </w:r>
            <w:r w:rsidR="0058448F" w:rsidRPr="0092659B">
              <w:rPr>
                <w:rFonts w:ascii="Times New Roman" w:eastAsia="Times New Roman" w:hAnsi="Times New Roman" w:cs="Times New Roman"/>
              </w:rPr>
              <w:t xml:space="preserve"> державного бюджету місцевим бюджетам</w:t>
            </w:r>
          </w:p>
        </w:tc>
        <w:tc>
          <w:tcPr>
            <w:tcW w:w="1275" w:type="dxa"/>
            <w:tcBorders>
              <w:top w:val="single" w:sz="4" w:space="0" w:color="auto"/>
              <w:left w:val="single" w:sz="4" w:space="0" w:color="auto"/>
              <w:bottom w:val="single" w:sz="4" w:space="0" w:color="auto"/>
            </w:tcBorders>
            <w:shd w:val="clear" w:color="auto" w:fill="FFFFFF"/>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68 422 200</w:t>
            </w:r>
          </w:p>
        </w:tc>
        <w:tc>
          <w:tcPr>
            <w:tcW w:w="1418" w:type="dxa"/>
            <w:tcBorders>
              <w:top w:val="single" w:sz="4" w:space="0" w:color="auto"/>
              <w:left w:val="single" w:sz="4" w:space="0" w:color="auto"/>
              <w:bottom w:val="single" w:sz="4" w:space="0" w:color="auto"/>
            </w:tcBorders>
            <w:shd w:val="clear" w:color="auto" w:fill="FFFFFF"/>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74 939 100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80 052 900</w:t>
            </w:r>
          </w:p>
        </w:tc>
      </w:tr>
      <w:tr w:rsidR="0058448F" w:rsidRPr="0092659B" w:rsidTr="00F03AAE">
        <w:trPr>
          <w:trHeight w:hRule="exact" w:val="1432"/>
          <w:jc w:val="center"/>
        </w:trPr>
        <w:tc>
          <w:tcPr>
            <w:tcW w:w="5098" w:type="dxa"/>
            <w:tcBorders>
              <w:top w:val="single" w:sz="4" w:space="0" w:color="auto"/>
              <w:left w:val="single" w:sz="4" w:space="0" w:color="auto"/>
            </w:tcBorders>
            <w:shd w:val="clear" w:color="auto" w:fill="FFFFFF"/>
            <w:vAlign w:val="bottom"/>
          </w:tcPr>
          <w:p w:rsidR="0058448F" w:rsidRPr="0092659B" w:rsidRDefault="0058448F" w:rsidP="0092659B">
            <w:pPr>
              <w:tabs>
                <w:tab w:val="left" w:pos="1940"/>
              </w:tabs>
              <w:rPr>
                <w:rFonts w:ascii="Times New Roman" w:eastAsia="Times New Roman" w:hAnsi="Times New Roman" w:cs="Times New Roman"/>
                <w:color w:val="auto"/>
              </w:rPr>
            </w:pPr>
            <w:r w:rsidRPr="0092659B">
              <w:rPr>
                <w:rFonts w:ascii="Times New Roman" w:eastAsia="Times New Roman" w:hAnsi="Times New Roman" w:cs="Times New Roman"/>
              </w:rPr>
              <w:t>Дотація з місцевого бюджету</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на</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здійснення</w:t>
            </w:r>
            <w:r w:rsidR="0092659B">
              <w:rPr>
                <w:rFonts w:ascii="Times New Roman" w:eastAsia="Times New Roman" w:hAnsi="Times New Roman" w:cs="Times New Roman"/>
              </w:rPr>
              <w:t xml:space="preserve"> переданих </w:t>
            </w:r>
            <w:r w:rsidRPr="0092659B">
              <w:rPr>
                <w:rFonts w:ascii="Times New Roman" w:eastAsia="Times New Roman" w:hAnsi="Times New Roman" w:cs="Times New Roman"/>
              </w:rPr>
              <w:t>з</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державного бюджету видатків з утримання закладів освіти та охорони здоров'я за рахунок відповідної додаткової дотації з державного бюджету</w:t>
            </w:r>
          </w:p>
        </w:tc>
        <w:tc>
          <w:tcPr>
            <w:tcW w:w="1275"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874 900</w:t>
            </w:r>
          </w:p>
        </w:tc>
        <w:tc>
          <w:tcPr>
            <w:tcW w:w="1418"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978 900</w:t>
            </w:r>
          </w:p>
        </w:tc>
        <w:tc>
          <w:tcPr>
            <w:tcW w:w="1275" w:type="dxa"/>
            <w:tcBorders>
              <w:top w:val="single" w:sz="4" w:space="0" w:color="auto"/>
              <w:left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982 900</w:t>
            </w:r>
          </w:p>
        </w:tc>
      </w:tr>
      <w:tr w:rsidR="0058448F" w:rsidRPr="0092659B" w:rsidTr="00F03AAE">
        <w:trPr>
          <w:trHeight w:hRule="exact" w:val="986"/>
          <w:jc w:val="center"/>
        </w:trPr>
        <w:tc>
          <w:tcPr>
            <w:tcW w:w="5098" w:type="dxa"/>
            <w:tcBorders>
              <w:top w:val="single" w:sz="4" w:space="0" w:color="auto"/>
              <w:left w:val="single" w:sz="4" w:space="0" w:color="auto"/>
            </w:tcBorders>
            <w:shd w:val="clear" w:color="auto" w:fill="FFFFFF"/>
          </w:tcPr>
          <w:p w:rsidR="0058448F" w:rsidRPr="0092659B" w:rsidRDefault="0058448F" w:rsidP="0092659B">
            <w:pPr>
              <w:tabs>
                <w:tab w:val="right" w:pos="2215"/>
              </w:tabs>
              <w:jc w:val="both"/>
              <w:rPr>
                <w:rFonts w:ascii="Times New Roman" w:eastAsia="Times New Roman" w:hAnsi="Times New Roman" w:cs="Times New Roman"/>
                <w:color w:val="auto"/>
              </w:rPr>
            </w:pPr>
            <w:r w:rsidRPr="0092659B">
              <w:rPr>
                <w:rFonts w:ascii="Times New Roman" w:eastAsia="Times New Roman" w:hAnsi="Times New Roman" w:cs="Times New Roman"/>
              </w:rPr>
              <w:t>Субвенція</w:t>
            </w:r>
            <w:r w:rsidR="0092659B">
              <w:rPr>
                <w:rFonts w:ascii="Times New Roman" w:eastAsia="Times New Roman" w:hAnsi="Times New Roman" w:cs="Times New Roman"/>
              </w:rPr>
              <w:t xml:space="preserve"> з </w:t>
            </w:r>
            <w:r w:rsidRPr="0092659B">
              <w:rPr>
                <w:rFonts w:ascii="Times New Roman" w:eastAsia="Times New Roman" w:hAnsi="Times New Roman" w:cs="Times New Roman"/>
              </w:rPr>
              <w:t>місцевого бюджету на</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здійснення</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переданих видатків у сфері</w:t>
            </w:r>
            <w:r w:rsidR="0092659B">
              <w:rPr>
                <w:rFonts w:ascii="Times New Roman" w:eastAsia="Times New Roman" w:hAnsi="Times New Roman" w:cs="Times New Roman"/>
              </w:rPr>
              <w:t xml:space="preserve"> освіти </w:t>
            </w:r>
            <w:r w:rsidRPr="0092659B">
              <w:rPr>
                <w:rFonts w:ascii="Times New Roman" w:eastAsia="Times New Roman" w:hAnsi="Times New Roman" w:cs="Times New Roman"/>
              </w:rPr>
              <w:t>за</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рахунок</w:t>
            </w:r>
            <w:r w:rsidRPr="0092659B">
              <w:rPr>
                <w:rFonts w:ascii="Times New Roman" w:eastAsia="Times New Roman" w:hAnsi="Times New Roman" w:cs="Times New Roman"/>
              </w:rPr>
              <w:tab/>
              <w:t>коштів</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освітньої субвенції</w:t>
            </w:r>
          </w:p>
        </w:tc>
        <w:tc>
          <w:tcPr>
            <w:tcW w:w="1275"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 xml:space="preserve">1 624 916 </w:t>
            </w:r>
          </w:p>
        </w:tc>
        <w:tc>
          <w:tcPr>
            <w:tcW w:w="1418"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1 779 283</w:t>
            </w:r>
          </w:p>
        </w:tc>
        <w:tc>
          <w:tcPr>
            <w:tcW w:w="1275" w:type="dxa"/>
            <w:tcBorders>
              <w:top w:val="single" w:sz="4" w:space="0" w:color="auto"/>
              <w:left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1 900 274</w:t>
            </w:r>
          </w:p>
        </w:tc>
      </w:tr>
      <w:tr w:rsidR="0058448F" w:rsidRPr="0092659B" w:rsidTr="00633D59">
        <w:trPr>
          <w:trHeight w:hRule="exact" w:val="403"/>
          <w:jc w:val="center"/>
        </w:trPr>
        <w:tc>
          <w:tcPr>
            <w:tcW w:w="5098" w:type="dxa"/>
            <w:tcBorders>
              <w:top w:val="single" w:sz="4" w:space="0" w:color="auto"/>
              <w:left w:val="single" w:sz="4" w:space="0" w:color="auto"/>
              <w:bottom w:val="single" w:sz="4" w:space="0" w:color="auto"/>
            </w:tcBorders>
            <w:shd w:val="clear" w:color="auto" w:fill="FFFFFF"/>
          </w:tcPr>
          <w:p w:rsidR="0058448F" w:rsidRPr="0092659B" w:rsidRDefault="0058448F" w:rsidP="00633D59">
            <w:pPr>
              <w:tabs>
                <w:tab w:val="left" w:pos="1040"/>
              </w:tabs>
              <w:jc w:val="both"/>
              <w:rPr>
                <w:rFonts w:ascii="Times New Roman" w:eastAsia="Times New Roman" w:hAnsi="Times New Roman" w:cs="Times New Roman"/>
                <w:color w:val="auto"/>
              </w:rPr>
            </w:pPr>
            <w:r w:rsidRPr="0092659B">
              <w:rPr>
                <w:rFonts w:ascii="Times New Roman" w:eastAsia="Times New Roman" w:hAnsi="Times New Roman" w:cs="Times New Roman"/>
              </w:rPr>
              <w:t>Інші суб</w:t>
            </w:r>
            <w:r w:rsidR="0092659B">
              <w:rPr>
                <w:rFonts w:ascii="Times New Roman" w:eastAsia="Times New Roman" w:hAnsi="Times New Roman" w:cs="Times New Roman"/>
              </w:rPr>
              <w:t xml:space="preserve">венції з  місцевого бюджету </w:t>
            </w:r>
          </w:p>
        </w:tc>
        <w:tc>
          <w:tcPr>
            <w:tcW w:w="1275" w:type="dxa"/>
            <w:tcBorders>
              <w:top w:val="single" w:sz="4" w:space="0" w:color="auto"/>
              <w:left w:val="single" w:sz="4" w:space="0" w:color="auto"/>
              <w:bottom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236 120</w:t>
            </w:r>
          </w:p>
        </w:tc>
        <w:tc>
          <w:tcPr>
            <w:tcW w:w="1418" w:type="dxa"/>
            <w:tcBorders>
              <w:top w:val="single" w:sz="4" w:space="0" w:color="auto"/>
              <w:left w:val="single" w:sz="4" w:space="0" w:color="auto"/>
              <w:bottom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247 620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259 620</w:t>
            </w:r>
          </w:p>
        </w:tc>
      </w:tr>
    </w:tbl>
    <w:p w:rsidR="0058448F" w:rsidRPr="0058448F" w:rsidRDefault="0058448F" w:rsidP="00043C5B">
      <w:pPr>
        <w:rPr>
          <w:rFonts w:ascii="Times New Roman" w:hAnsi="Times New Roman" w:cs="Times New Roman"/>
          <w:sz w:val="28"/>
          <w:szCs w:val="28"/>
        </w:rPr>
      </w:pPr>
    </w:p>
    <w:p w:rsidR="0058448F" w:rsidRPr="0058448F" w:rsidRDefault="0058448F" w:rsidP="00043C5B">
      <w:pPr>
        <w:keepNext/>
        <w:keepLines/>
        <w:numPr>
          <w:ilvl w:val="0"/>
          <w:numId w:val="6"/>
        </w:numPr>
        <w:tabs>
          <w:tab w:val="left" w:pos="430"/>
        </w:tabs>
        <w:jc w:val="center"/>
        <w:outlineLvl w:val="1"/>
        <w:rPr>
          <w:rFonts w:ascii="Times New Roman" w:eastAsia="Times New Roman" w:hAnsi="Times New Roman" w:cs="Times New Roman"/>
          <w:b/>
          <w:bCs/>
          <w:color w:val="auto"/>
          <w:sz w:val="28"/>
          <w:szCs w:val="28"/>
        </w:rPr>
      </w:pPr>
      <w:bookmarkStart w:id="13" w:name="bookmark34"/>
      <w:bookmarkStart w:id="14" w:name="bookmark35"/>
      <w:r w:rsidRPr="0058448F">
        <w:rPr>
          <w:rFonts w:ascii="Times New Roman" w:eastAsia="Times New Roman" w:hAnsi="Times New Roman" w:cs="Times New Roman"/>
          <w:b/>
          <w:bCs/>
          <w:sz w:val="28"/>
          <w:szCs w:val="28"/>
        </w:rPr>
        <w:t>Інші положення та показники прогнозу бюджету</w:t>
      </w:r>
      <w:bookmarkEnd w:id="13"/>
      <w:bookmarkEnd w:id="14"/>
    </w:p>
    <w:p w:rsidR="006F0C5A" w:rsidRPr="006F0C5A" w:rsidRDefault="006F0C5A" w:rsidP="006F0C5A">
      <w:pPr>
        <w:ind w:firstLine="72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Прогноз селищного бюджету </w:t>
      </w:r>
      <w:r>
        <w:rPr>
          <w:rFonts w:ascii="Times New Roman" w:eastAsia="Times New Roman" w:hAnsi="Times New Roman" w:cs="Times New Roman"/>
          <w:sz w:val="28"/>
          <w:szCs w:val="28"/>
        </w:rPr>
        <w:t>Романівської</w:t>
      </w:r>
      <w:r w:rsidRPr="0058448F">
        <w:rPr>
          <w:rFonts w:ascii="Times New Roman" w:eastAsia="Times New Roman" w:hAnsi="Times New Roman" w:cs="Times New Roman"/>
          <w:sz w:val="28"/>
          <w:szCs w:val="28"/>
        </w:rPr>
        <w:t xml:space="preserve"> селищної ради на 2022-2024 роки збалансований.</w:t>
      </w:r>
      <w:r w:rsidRPr="006F0C5A">
        <w:rPr>
          <w:rFonts w:ascii="Times New Roman" w:eastAsia="Times New Roman" w:hAnsi="Times New Roman" w:cs="Times New Roman"/>
          <w:sz w:val="28"/>
          <w:szCs w:val="28"/>
          <w:lang w:val="ru-RU"/>
        </w:rPr>
        <w:t xml:space="preserve"> </w:t>
      </w:r>
      <w:r w:rsidRPr="006F0C5A">
        <w:rPr>
          <w:rFonts w:ascii="Times New Roman" w:eastAsia="Times New Roman" w:hAnsi="Times New Roman" w:cs="Times New Roman"/>
          <w:sz w:val="28"/>
          <w:szCs w:val="28"/>
        </w:rPr>
        <w:t>До Прогнозу додаються:</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1 «Загальні показники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2 «Показники доходів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3 «Показники фінансування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6 «Граничні показники видатків бюджету за Типовою програмною класифікацією видатків та кредитування місцевого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7 «Граничні показники видатків бюджету за Типовою програмною класифікацією видатків та кредитування місцевого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9 «Показники бюджету розвитку»;</w:t>
      </w:r>
    </w:p>
    <w:p w:rsid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11 «Показники міжбюджетних трансфертів з інших бюджетів»</w:t>
      </w:r>
      <w:r w:rsidRPr="006F0C5A">
        <w:rPr>
          <w:rFonts w:ascii="Times New Roman" w:eastAsia="Times New Roman" w:hAnsi="Times New Roman" w:cs="Times New Roman"/>
          <w:sz w:val="28"/>
          <w:szCs w:val="28"/>
          <w:lang w:val="ru-RU"/>
        </w:rPr>
        <w:t>/</w:t>
      </w:r>
      <w:r w:rsidRPr="006F0C5A">
        <w:rPr>
          <w:rFonts w:ascii="Times New Roman" w:eastAsia="Times New Roman" w:hAnsi="Times New Roman" w:cs="Times New Roman"/>
          <w:sz w:val="28"/>
          <w:szCs w:val="28"/>
        </w:rPr>
        <w:t xml:space="preserve"> </w:t>
      </w:r>
    </w:p>
    <w:p w:rsidR="006F0C5A" w:rsidRPr="006F0C5A" w:rsidRDefault="0058448F" w:rsidP="006F0C5A">
      <w:pPr>
        <w:ind w:firstLine="72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У прогнозі відсутня інформація для заповнення додатк</w:t>
      </w:r>
      <w:r w:rsidR="00FF680F">
        <w:rPr>
          <w:rFonts w:ascii="Times New Roman" w:eastAsia="Times New Roman" w:hAnsi="Times New Roman" w:cs="Times New Roman"/>
          <w:sz w:val="28"/>
          <w:szCs w:val="28"/>
        </w:rPr>
        <w:t>а</w:t>
      </w:r>
      <w:r w:rsidRPr="0058448F">
        <w:rPr>
          <w:rFonts w:ascii="Times New Roman" w:eastAsia="Times New Roman" w:hAnsi="Times New Roman" w:cs="Times New Roman"/>
          <w:sz w:val="28"/>
          <w:szCs w:val="28"/>
        </w:rPr>
        <w:t xml:space="preserve"> 4 «Показники місцевого боргу», </w:t>
      </w:r>
      <w:r w:rsidR="006F0C5A">
        <w:rPr>
          <w:rFonts w:ascii="Times New Roman" w:eastAsia="Times New Roman" w:hAnsi="Times New Roman" w:cs="Times New Roman"/>
          <w:sz w:val="28"/>
          <w:szCs w:val="28"/>
        </w:rPr>
        <w:t xml:space="preserve">додатка </w:t>
      </w:r>
      <w:r w:rsidRPr="0058448F">
        <w:rPr>
          <w:rFonts w:ascii="Times New Roman" w:eastAsia="Times New Roman" w:hAnsi="Times New Roman" w:cs="Times New Roman"/>
          <w:sz w:val="28"/>
          <w:szCs w:val="28"/>
        </w:rPr>
        <w:t>5 «Показники гарантованого територіальною громадою боргу і надання місцевих гарантій»</w:t>
      </w:r>
      <w:r w:rsidR="006F0C5A">
        <w:rPr>
          <w:rFonts w:ascii="Times New Roman" w:eastAsia="Times New Roman" w:hAnsi="Times New Roman" w:cs="Times New Roman"/>
          <w:sz w:val="28"/>
          <w:szCs w:val="28"/>
        </w:rPr>
        <w:t>, додатка</w:t>
      </w:r>
      <w:r w:rsidRPr="0058448F">
        <w:rPr>
          <w:rFonts w:ascii="Times New Roman" w:eastAsia="Times New Roman" w:hAnsi="Times New Roman" w:cs="Times New Roman"/>
          <w:sz w:val="28"/>
          <w:szCs w:val="28"/>
        </w:rPr>
        <w:t xml:space="preserve"> 8 «Граничні показники кредитування бюджету за Типовою програмною класифікацією видатків та </w:t>
      </w:r>
      <w:r w:rsidR="006F0C5A">
        <w:rPr>
          <w:rFonts w:ascii="Times New Roman" w:eastAsia="Times New Roman" w:hAnsi="Times New Roman" w:cs="Times New Roman"/>
          <w:sz w:val="28"/>
          <w:szCs w:val="28"/>
        </w:rPr>
        <w:t>кредитування місцевого бюджету»,</w:t>
      </w:r>
      <w:r w:rsidR="006F0C5A" w:rsidRPr="006F0C5A">
        <w:rPr>
          <w:rFonts w:ascii="Times New Roman" w:eastAsia="Times New Roman" w:hAnsi="Times New Roman" w:cs="Times New Roman"/>
          <w:sz w:val="28"/>
          <w:szCs w:val="28"/>
        </w:rPr>
        <w:t xml:space="preserve"> додатк</w:t>
      </w:r>
      <w:r w:rsidR="006F0C5A">
        <w:rPr>
          <w:rFonts w:ascii="Times New Roman" w:eastAsia="Times New Roman" w:hAnsi="Times New Roman" w:cs="Times New Roman"/>
          <w:sz w:val="28"/>
          <w:szCs w:val="28"/>
        </w:rPr>
        <w:t>а</w:t>
      </w:r>
      <w:r w:rsidR="006F0C5A" w:rsidRPr="006F0C5A">
        <w:rPr>
          <w:rFonts w:ascii="Times New Roman" w:eastAsia="Times New Roman" w:hAnsi="Times New Roman" w:cs="Times New Roman"/>
          <w:sz w:val="28"/>
          <w:szCs w:val="28"/>
        </w:rPr>
        <w:t xml:space="preserve"> 10 «Обсяги капітальних вкладень бюджету у </w:t>
      </w:r>
      <w:r w:rsidR="006F0C5A">
        <w:rPr>
          <w:rFonts w:ascii="Times New Roman" w:eastAsia="Times New Roman" w:hAnsi="Times New Roman" w:cs="Times New Roman"/>
          <w:sz w:val="28"/>
          <w:szCs w:val="28"/>
        </w:rPr>
        <w:t xml:space="preserve">розрізі інвестиційних проектів» та </w:t>
      </w:r>
      <w:r w:rsidR="006F0C5A" w:rsidRPr="006F0C5A">
        <w:rPr>
          <w:rFonts w:ascii="Times New Roman" w:eastAsia="Times New Roman" w:hAnsi="Times New Roman" w:cs="Times New Roman"/>
          <w:sz w:val="28"/>
          <w:szCs w:val="28"/>
        </w:rPr>
        <w:t>додатк</w:t>
      </w:r>
      <w:r w:rsidR="006F0C5A">
        <w:rPr>
          <w:rFonts w:ascii="Times New Roman" w:eastAsia="Times New Roman" w:hAnsi="Times New Roman" w:cs="Times New Roman"/>
          <w:sz w:val="28"/>
          <w:szCs w:val="28"/>
        </w:rPr>
        <w:t>а</w:t>
      </w:r>
      <w:r w:rsidR="006F0C5A" w:rsidRPr="006F0C5A">
        <w:rPr>
          <w:rFonts w:ascii="Times New Roman" w:eastAsia="Times New Roman" w:hAnsi="Times New Roman" w:cs="Times New Roman"/>
          <w:sz w:val="28"/>
          <w:szCs w:val="28"/>
        </w:rPr>
        <w:t xml:space="preserve"> 12 «Показники міжбюджетних трансфертів іншим бюджетам».</w:t>
      </w:r>
    </w:p>
    <w:p w:rsidR="00F42FFF" w:rsidRPr="00F42FFF" w:rsidRDefault="0058448F" w:rsidP="00F42FFF">
      <w:pPr>
        <w:pStyle w:val="1"/>
        <w:shd w:val="clear" w:color="auto" w:fill="auto"/>
        <w:spacing w:after="0"/>
        <w:ind w:firstLine="822"/>
        <w:jc w:val="both"/>
      </w:pPr>
      <w:r w:rsidRPr="0058448F">
        <w:t xml:space="preserve">Показники обсягів селищного бюджету </w:t>
      </w:r>
      <w:r w:rsidR="00043C5B">
        <w:t>Романівської</w:t>
      </w:r>
      <w:r w:rsidRPr="0058448F">
        <w:t xml:space="preserve"> селищної ради на 2022-2024 роки будуть </w:t>
      </w:r>
      <w:r w:rsidR="00043C5B" w:rsidRPr="0058448F">
        <w:t>уточн</w:t>
      </w:r>
      <w:r w:rsidR="00043C5B">
        <w:t xml:space="preserve">ені в </w:t>
      </w:r>
      <w:r w:rsidRPr="0058448F">
        <w:t>залежно</w:t>
      </w:r>
      <w:r w:rsidR="00043C5B">
        <w:t>сті</w:t>
      </w:r>
      <w:r w:rsidRPr="0058448F">
        <w:t xml:space="preserve"> від законодавчих змін у податковій політиці, показників соціального та економічного</w:t>
      </w:r>
      <w:r w:rsidR="00F42FFF">
        <w:t xml:space="preserve"> розвитку території та реальних</w:t>
      </w:r>
      <w:r w:rsidR="00F42FFF" w:rsidRPr="00F42FFF">
        <w:t xml:space="preserve"> можливостей бюджету на відповідні роки.</w:t>
      </w:r>
    </w:p>
    <w:p w:rsidR="001068E5" w:rsidRDefault="001068E5" w:rsidP="00F42FFF">
      <w:pPr>
        <w:ind w:firstLine="822"/>
        <w:jc w:val="both"/>
        <w:rPr>
          <w:rFonts w:ascii="Times New Roman" w:hAnsi="Times New Roman" w:cs="Times New Roman"/>
          <w:sz w:val="28"/>
          <w:szCs w:val="28"/>
        </w:rPr>
      </w:pPr>
    </w:p>
    <w:p w:rsidR="00F42FFF" w:rsidRDefault="00F42FFF" w:rsidP="00F42FFF">
      <w:pPr>
        <w:ind w:firstLine="822"/>
        <w:jc w:val="both"/>
        <w:rPr>
          <w:rFonts w:ascii="Times New Roman" w:hAnsi="Times New Roman" w:cs="Times New Roman"/>
          <w:sz w:val="28"/>
          <w:szCs w:val="28"/>
        </w:rPr>
      </w:pPr>
      <w:r>
        <w:rPr>
          <w:rFonts w:ascii="Times New Roman" w:hAnsi="Times New Roman" w:cs="Times New Roman"/>
          <w:sz w:val="28"/>
          <w:szCs w:val="28"/>
        </w:rPr>
        <w:t xml:space="preserve">Начальник фінансового </w:t>
      </w:r>
    </w:p>
    <w:p w:rsidR="00A66635" w:rsidRPr="00F42FFF" w:rsidRDefault="00F42FFF" w:rsidP="006F0C5A">
      <w:pPr>
        <w:ind w:firstLine="822"/>
        <w:jc w:val="both"/>
        <w:rPr>
          <w:rFonts w:ascii="Times New Roman" w:hAnsi="Times New Roman" w:cs="Times New Roman"/>
          <w:sz w:val="28"/>
          <w:szCs w:val="28"/>
        </w:rPr>
      </w:pPr>
      <w:r>
        <w:rPr>
          <w:rFonts w:ascii="Times New Roman" w:hAnsi="Times New Roman" w:cs="Times New Roman"/>
          <w:sz w:val="28"/>
          <w:szCs w:val="28"/>
        </w:rPr>
        <w:t>управління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Наталія ГОРОБЕЦЬ</w:t>
      </w:r>
    </w:p>
    <w:sectPr w:rsidR="00A66635" w:rsidRPr="00F42FFF" w:rsidSect="00996327">
      <w:headerReference w:type="default" r:id="rId8"/>
      <w:type w:val="continuous"/>
      <w:pgSz w:w="11900" w:h="16840"/>
      <w:pgMar w:top="1134" w:right="418" w:bottom="1134" w:left="1418" w:header="828" w:footer="76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15F" w:rsidRDefault="00A6415F">
      <w:r>
        <w:separator/>
      </w:r>
    </w:p>
  </w:endnote>
  <w:endnote w:type="continuationSeparator" w:id="0">
    <w:p w:rsidR="00A6415F" w:rsidRDefault="00A6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15F" w:rsidRDefault="00A6415F"/>
  </w:footnote>
  <w:footnote w:type="continuationSeparator" w:id="0">
    <w:p w:rsidR="00A6415F" w:rsidRDefault="00A641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870" w:rsidRDefault="00D20870">
    <w:pPr>
      <w:spacing w:line="1" w:lineRule="exact"/>
    </w:pPr>
    <w:r>
      <w:rPr>
        <w:noProof/>
        <w:lang w:bidi="ar-SA"/>
      </w:rPr>
      <mc:AlternateContent>
        <mc:Choice Requires="wps">
          <w:drawing>
            <wp:anchor distT="0" distB="0" distL="0" distR="0" simplePos="0" relativeHeight="62914693" behindDoc="1" locked="0" layoutInCell="1" allowOverlap="1" wp14:anchorId="39A5CB9F" wp14:editId="28816D6D">
              <wp:simplePos x="0" y="0"/>
              <wp:positionH relativeFrom="page">
                <wp:posOffset>4086225</wp:posOffset>
              </wp:positionH>
              <wp:positionV relativeFrom="page">
                <wp:posOffset>499110</wp:posOffset>
              </wp:positionV>
              <wp:extent cx="120650" cy="104775"/>
              <wp:effectExtent l="0" t="0" r="0" b="0"/>
              <wp:wrapNone/>
              <wp:docPr id="25" name="Shape 25"/>
              <wp:cNvGraphicFramePr/>
              <a:graphic xmlns:a="http://schemas.openxmlformats.org/drawingml/2006/main">
                <a:graphicData uri="http://schemas.microsoft.com/office/word/2010/wordprocessingShape">
                  <wps:wsp>
                    <wps:cNvSpPr txBox="1"/>
                    <wps:spPr>
                      <a:xfrm>
                        <a:off x="0" y="0"/>
                        <a:ext cx="120650" cy="104775"/>
                      </a:xfrm>
                      <a:prstGeom prst="rect">
                        <a:avLst/>
                      </a:prstGeom>
                      <a:noFill/>
                    </wps:spPr>
                    <wps:txbx>
                      <w:txbxContent>
                        <w:p w:rsidR="00D20870" w:rsidRDefault="00D20870">
                          <w:pPr>
                            <w:pStyle w:val="22"/>
                            <w:shd w:val="clear" w:color="auto" w:fill="auto"/>
                            <w:rPr>
                              <w:sz w:val="22"/>
                              <w:szCs w:val="22"/>
                            </w:rPr>
                          </w:pPr>
                          <w:r>
                            <w:fldChar w:fldCharType="begin"/>
                          </w:r>
                          <w:r>
                            <w:instrText xml:space="preserve"> PAGE \* MERGEFORMAT </w:instrText>
                          </w:r>
                          <w:r>
                            <w:fldChar w:fldCharType="separate"/>
                          </w:r>
                          <w:r w:rsidR="00A6415F" w:rsidRPr="00A6415F">
                            <w:rPr>
                              <w:noProof/>
                              <w:sz w:val="22"/>
                              <w:szCs w:val="22"/>
                            </w:rPr>
                            <w:t>1</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5" o:spid="_x0000_s1026" type="#_x0000_t202" style="position:absolute;margin-left:321.75pt;margin-top:39.3pt;width:9.5pt;height:8.25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" filled="f" stroked="f">
              <v:textbox style="mso-fit-shape-to-text:t" inset="0,0,0,0">
                <w:txbxContent>
                  <w:p w:rsidR="00D20870" w:rsidRDefault="00D20870">
                    <w:pPr>
                      <w:pStyle w:val="22"/>
                      <w:shd w:val="clear" w:color="auto" w:fill="auto"/>
                      <w:rPr>
                        <w:sz w:val="22"/>
                        <w:szCs w:val="22"/>
                      </w:rPr>
                    </w:pPr>
                    <w:r>
                      <w:fldChar w:fldCharType="begin"/>
                    </w:r>
                    <w:r>
                      <w:instrText xml:space="preserve"> PAGE \* MERGEFORMAT </w:instrText>
                    </w:r>
                    <w:r>
                      <w:fldChar w:fldCharType="separate"/>
                    </w:r>
                    <w:r w:rsidR="00A6415F" w:rsidRPr="00A6415F">
                      <w:rPr>
                        <w:noProof/>
                        <w:sz w:val="22"/>
                        <w:szCs w:val="22"/>
                      </w:rPr>
                      <w:t>1</w:t>
                    </w:r>
                    <w:r>
                      <w:rPr>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417C3"/>
    <w:multiLevelType w:val="multilevel"/>
    <w:tmpl w:val="86AA9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F835AB"/>
    <w:multiLevelType w:val="multilevel"/>
    <w:tmpl w:val="251E5BD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3E7ADB"/>
    <w:multiLevelType w:val="multilevel"/>
    <w:tmpl w:val="DAE4167E"/>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E14EA7"/>
    <w:multiLevelType w:val="multilevel"/>
    <w:tmpl w:val="67F6B792"/>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F20DD3"/>
    <w:multiLevelType w:val="multilevel"/>
    <w:tmpl w:val="F5849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4C566F"/>
    <w:multiLevelType w:val="multilevel"/>
    <w:tmpl w:val="54746C8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1F02C2"/>
    <w:multiLevelType w:val="multilevel"/>
    <w:tmpl w:val="D83288E0"/>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BD"/>
    <w:rsid w:val="0003691C"/>
    <w:rsid w:val="00043C5B"/>
    <w:rsid w:val="000848E3"/>
    <w:rsid w:val="000D5C6C"/>
    <w:rsid w:val="001068E5"/>
    <w:rsid w:val="001849ED"/>
    <w:rsid w:val="001B1D3D"/>
    <w:rsid w:val="0028494D"/>
    <w:rsid w:val="002F01E7"/>
    <w:rsid w:val="00301DFE"/>
    <w:rsid w:val="00312819"/>
    <w:rsid w:val="0031788A"/>
    <w:rsid w:val="00333AB3"/>
    <w:rsid w:val="00374A60"/>
    <w:rsid w:val="003867DD"/>
    <w:rsid w:val="003B0B17"/>
    <w:rsid w:val="003C14E5"/>
    <w:rsid w:val="003E4DDE"/>
    <w:rsid w:val="00461766"/>
    <w:rsid w:val="00467315"/>
    <w:rsid w:val="00472878"/>
    <w:rsid w:val="0058448F"/>
    <w:rsid w:val="00633D59"/>
    <w:rsid w:val="006B58E7"/>
    <w:rsid w:val="006F0C5A"/>
    <w:rsid w:val="00715A7B"/>
    <w:rsid w:val="00720CE4"/>
    <w:rsid w:val="00765CC4"/>
    <w:rsid w:val="007856EE"/>
    <w:rsid w:val="007B2086"/>
    <w:rsid w:val="007D20E8"/>
    <w:rsid w:val="007D75E6"/>
    <w:rsid w:val="00802AF4"/>
    <w:rsid w:val="008121BD"/>
    <w:rsid w:val="008141E4"/>
    <w:rsid w:val="00857D4F"/>
    <w:rsid w:val="008A4EC8"/>
    <w:rsid w:val="008D1F05"/>
    <w:rsid w:val="0092659B"/>
    <w:rsid w:val="00971ADD"/>
    <w:rsid w:val="00996327"/>
    <w:rsid w:val="00A37FD0"/>
    <w:rsid w:val="00A6415F"/>
    <w:rsid w:val="00A66635"/>
    <w:rsid w:val="00A717F0"/>
    <w:rsid w:val="00A8722A"/>
    <w:rsid w:val="00A91C18"/>
    <w:rsid w:val="00AB625F"/>
    <w:rsid w:val="00B2371A"/>
    <w:rsid w:val="00C421D2"/>
    <w:rsid w:val="00C95B8B"/>
    <w:rsid w:val="00CE3E8A"/>
    <w:rsid w:val="00D20870"/>
    <w:rsid w:val="00D40CBE"/>
    <w:rsid w:val="00D850A4"/>
    <w:rsid w:val="00DC72C4"/>
    <w:rsid w:val="00DD795C"/>
    <w:rsid w:val="00DE1B4D"/>
    <w:rsid w:val="00E367E7"/>
    <w:rsid w:val="00E77A10"/>
    <w:rsid w:val="00EE4716"/>
    <w:rsid w:val="00EF732E"/>
    <w:rsid w:val="00F03AAE"/>
    <w:rsid w:val="00F42FFF"/>
    <w:rsid w:val="00F85037"/>
    <w:rsid w:val="00FC7B33"/>
    <w:rsid w:val="00FF5136"/>
    <w:rsid w:val="00FF68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D20E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ідпис до зображення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и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Інш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ідпис до таблиці_"/>
    <w:basedOn w:val="a0"/>
    <w:link w:val="a9"/>
    <w:rPr>
      <w:rFonts w:ascii="Times New Roman" w:eastAsia="Times New Roman" w:hAnsi="Times New Roman" w:cs="Times New Roman"/>
      <w:b/>
      <w:bCs/>
      <w:i w:val="0"/>
      <w:iCs w:val="0"/>
      <w:smallCaps w:val="0"/>
      <w:strike w:val="0"/>
      <w:sz w:val="28"/>
      <w:szCs w:val="28"/>
      <w:u w:val="none"/>
    </w:rPr>
  </w:style>
  <w:style w:type="paragraph" w:customStyle="1" w:styleId="1">
    <w:name w:val="Основний текст1"/>
    <w:basedOn w:val="a"/>
    <w:link w:val="a3"/>
    <w:pPr>
      <w:shd w:val="clear" w:color="auto" w:fill="FFFFFF"/>
      <w:spacing w:after="80"/>
      <w:ind w:firstLine="400"/>
    </w:pPr>
    <w:rPr>
      <w:rFonts w:ascii="Times New Roman" w:eastAsia="Times New Roman" w:hAnsi="Times New Roman" w:cs="Times New Roman"/>
      <w:sz w:val="28"/>
      <w:szCs w:val="28"/>
    </w:rPr>
  </w:style>
  <w:style w:type="paragraph" w:customStyle="1" w:styleId="a5">
    <w:name w:val="Підпис до зображення"/>
    <w:basedOn w:val="a"/>
    <w:link w:val="a4"/>
    <w:pPr>
      <w:shd w:val="clear" w:color="auto" w:fill="FFFFFF"/>
    </w:pPr>
    <w:rPr>
      <w:rFonts w:ascii="Times New Roman" w:eastAsia="Times New Roman" w:hAnsi="Times New Roman" w:cs="Times New Roman"/>
      <w:sz w:val="28"/>
      <w:szCs w:val="28"/>
    </w:rPr>
  </w:style>
  <w:style w:type="paragraph" w:customStyle="1" w:styleId="20">
    <w:name w:val="Основний текст (2)"/>
    <w:basedOn w:val="a"/>
    <w:link w:val="2"/>
    <w:pPr>
      <w:shd w:val="clear" w:color="auto" w:fill="FFFFFF"/>
      <w:ind w:firstLine="280"/>
    </w:pPr>
    <w:rPr>
      <w:rFonts w:ascii="Times New Roman" w:eastAsia="Times New Roman" w:hAnsi="Times New Roman" w:cs="Times New Roman"/>
      <w:sz w:val="22"/>
      <w:szCs w:val="22"/>
    </w:rPr>
  </w:style>
  <w:style w:type="paragraph" w:customStyle="1" w:styleId="11">
    <w:name w:val="Заголовок №1"/>
    <w:basedOn w:val="a"/>
    <w:link w:val="10"/>
    <w:pPr>
      <w:shd w:val="clear" w:color="auto" w:fill="FFFFFF"/>
      <w:spacing w:after="190"/>
      <w:jc w:val="center"/>
      <w:outlineLvl w:val="0"/>
    </w:pPr>
    <w:rPr>
      <w:rFonts w:ascii="Times New Roman" w:eastAsia="Times New Roman" w:hAnsi="Times New Roman" w:cs="Times New Roman"/>
      <w:b/>
      <w:bCs/>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Інше"/>
    <w:basedOn w:val="a"/>
    <w:link w:val="a6"/>
    <w:pPr>
      <w:shd w:val="clear" w:color="auto" w:fill="FFFFFF"/>
      <w:spacing w:after="80"/>
      <w:ind w:firstLine="400"/>
    </w:pPr>
    <w:rPr>
      <w:rFonts w:ascii="Times New Roman" w:eastAsia="Times New Roman" w:hAnsi="Times New Roman" w:cs="Times New Roman"/>
      <w:sz w:val="28"/>
      <w:szCs w:val="28"/>
    </w:rPr>
  </w:style>
  <w:style w:type="paragraph" w:customStyle="1" w:styleId="a9">
    <w:name w:val="Підпис до таблиці"/>
    <w:basedOn w:val="a"/>
    <w:link w:val="a8"/>
    <w:pPr>
      <w:shd w:val="clear" w:color="auto" w:fill="FFFFFF"/>
    </w:pPr>
    <w:rPr>
      <w:rFonts w:ascii="Times New Roman" w:eastAsia="Times New Roman" w:hAnsi="Times New Roman" w:cs="Times New Roman"/>
      <w:b/>
      <w:bCs/>
      <w:sz w:val="28"/>
      <w:szCs w:val="28"/>
    </w:rPr>
  </w:style>
  <w:style w:type="paragraph" w:styleId="aa">
    <w:name w:val="List Paragraph"/>
    <w:basedOn w:val="a"/>
    <w:uiPriority w:val="34"/>
    <w:qFormat/>
    <w:rsid w:val="00EF732E"/>
    <w:pPr>
      <w:ind w:left="720"/>
      <w:contextualSpacing/>
    </w:pPr>
  </w:style>
  <w:style w:type="paragraph" w:styleId="ab">
    <w:name w:val="Balloon Text"/>
    <w:basedOn w:val="a"/>
    <w:link w:val="ac"/>
    <w:uiPriority w:val="99"/>
    <w:semiHidden/>
    <w:unhideWhenUsed/>
    <w:rsid w:val="00720CE4"/>
    <w:rPr>
      <w:rFonts w:ascii="Arial" w:hAnsi="Arial" w:cs="Arial"/>
      <w:sz w:val="18"/>
      <w:szCs w:val="18"/>
    </w:rPr>
  </w:style>
  <w:style w:type="character" w:customStyle="1" w:styleId="ac">
    <w:name w:val="Текст выноски Знак"/>
    <w:basedOn w:val="a0"/>
    <w:link w:val="ab"/>
    <w:uiPriority w:val="99"/>
    <w:semiHidden/>
    <w:rsid w:val="00720CE4"/>
    <w:rPr>
      <w:rFonts w:ascii="Arial" w:hAnsi="Arial" w:cs="Arial"/>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D20E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ідпис до зображення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и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Інш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ідпис до таблиці_"/>
    <w:basedOn w:val="a0"/>
    <w:link w:val="a9"/>
    <w:rPr>
      <w:rFonts w:ascii="Times New Roman" w:eastAsia="Times New Roman" w:hAnsi="Times New Roman" w:cs="Times New Roman"/>
      <w:b/>
      <w:bCs/>
      <w:i w:val="0"/>
      <w:iCs w:val="0"/>
      <w:smallCaps w:val="0"/>
      <w:strike w:val="0"/>
      <w:sz w:val="28"/>
      <w:szCs w:val="28"/>
      <w:u w:val="none"/>
    </w:rPr>
  </w:style>
  <w:style w:type="paragraph" w:customStyle="1" w:styleId="1">
    <w:name w:val="Основний текст1"/>
    <w:basedOn w:val="a"/>
    <w:link w:val="a3"/>
    <w:pPr>
      <w:shd w:val="clear" w:color="auto" w:fill="FFFFFF"/>
      <w:spacing w:after="80"/>
      <w:ind w:firstLine="400"/>
    </w:pPr>
    <w:rPr>
      <w:rFonts w:ascii="Times New Roman" w:eastAsia="Times New Roman" w:hAnsi="Times New Roman" w:cs="Times New Roman"/>
      <w:sz w:val="28"/>
      <w:szCs w:val="28"/>
    </w:rPr>
  </w:style>
  <w:style w:type="paragraph" w:customStyle="1" w:styleId="a5">
    <w:name w:val="Підпис до зображення"/>
    <w:basedOn w:val="a"/>
    <w:link w:val="a4"/>
    <w:pPr>
      <w:shd w:val="clear" w:color="auto" w:fill="FFFFFF"/>
    </w:pPr>
    <w:rPr>
      <w:rFonts w:ascii="Times New Roman" w:eastAsia="Times New Roman" w:hAnsi="Times New Roman" w:cs="Times New Roman"/>
      <w:sz w:val="28"/>
      <w:szCs w:val="28"/>
    </w:rPr>
  </w:style>
  <w:style w:type="paragraph" w:customStyle="1" w:styleId="20">
    <w:name w:val="Основний текст (2)"/>
    <w:basedOn w:val="a"/>
    <w:link w:val="2"/>
    <w:pPr>
      <w:shd w:val="clear" w:color="auto" w:fill="FFFFFF"/>
      <w:ind w:firstLine="280"/>
    </w:pPr>
    <w:rPr>
      <w:rFonts w:ascii="Times New Roman" w:eastAsia="Times New Roman" w:hAnsi="Times New Roman" w:cs="Times New Roman"/>
      <w:sz w:val="22"/>
      <w:szCs w:val="22"/>
    </w:rPr>
  </w:style>
  <w:style w:type="paragraph" w:customStyle="1" w:styleId="11">
    <w:name w:val="Заголовок №1"/>
    <w:basedOn w:val="a"/>
    <w:link w:val="10"/>
    <w:pPr>
      <w:shd w:val="clear" w:color="auto" w:fill="FFFFFF"/>
      <w:spacing w:after="190"/>
      <w:jc w:val="center"/>
      <w:outlineLvl w:val="0"/>
    </w:pPr>
    <w:rPr>
      <w:rFonts w:ascii="Times New Roman" w:eastAsia="Times New Roman" w:hAnsi="Times New Roman" w:cs="Times New Roman"/>
      <w:b/>
      <w:bCs/>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Інше"/>
    <w:basedOn w:val="a"/>
    <w:link w:val="a6"/>
    <w:pPr>
      <w:shd w:val="clear" w:color="auto" w:fill="FFFFFF"/>
      <w:spacing w:after="80"/>
      <w:ind w:firstLine="400"/>
    </w:pPr>
    <w:rPr>
      <w:rFonts w:ascii="Times New Roman" w:eastAsia="Times New Roman" w:hAnsi="Times New Roman" w:cs="Times New Roman"/>
      <w:sz w:val="28"/>
      <w:szCs w:val="28"/>
    </w:rPr>
  </w:style>
  <w:style w:type="paragraph" w:customStyle="1" w:styleId="a9">
    <w:name w:val="Підпис до таблиці"/>
    <w:basedOn w:val="a"/>
    <w:link w:val="a8"/>
    <w:pPr>
      <w:shd w:val="clear" w:color="auto" w:fill="FFFFFF"/>
    </w:pPr>
    <w:rPr>
      <w:rFonts w:ascii="Times New Roman" w:eastAsia="Times New Roman" w:hAnsi="Times New Roman" w:cs="Times New Roman"/>
      <w:b/>
      <w:bCs/>
      <w:sz w:val="28"/>
      <w:szCs w:val="28"/>
    </w:rPr>
  </w:style>
  <w:style w:type="paragraph" w:styleId="aa">
    <w:name w:val="List Paragraph"/>
    <w:basedOn w:val="a"/>
    <w:uiPriority w:val="34"/>
    <w:qFormat/>
    <w:rsid w:val="00EF732E"/>
    <w:pPr>
      <w:ind w:left="720"/>
      <w:contextualSpacing/>
    </w:pPr>
  </w:style>
  <w:style w:type="paragraph" w:styleId="ab">
    <w:name w:val="Balloon Text"/>
    <w:basedOn w:val="a"/>
    <w:link w:val="ac"/>
    <w:uiPriority w:val="99"/>
    <w:semiHidden/>
    <w:unhideWhenUsed/>
    <w:rsid w:val="00720CE4"/>
    <w:rPr>
      <w:rFonts w:ascii="Arial" w:hAnsi="Arial" w:cs="Arial"/>
      <w:sz w:val="18"/>
      <w:szCs w:val="18"/>
    </w:rPr>
  </w:style>
  <w:style w:type="character" w:customStyle="1" w:styleId="ac">
    <w:name w:val="Текст выноски Знак"/>
    <w:basedOn w:val="a0"/>
    <w:link w:val="ab"/>
    <w:uiPriority w:val="99"/>
    <w:semiHidden/>
    <w:rsid w:val="00720CE4"/>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701</TotalTime>
  <Pages>13</Pages>
  <Words>20712</Words>
  <Characters>11806</Characters>
  <Application>Microsoft Office Word</Application>
  <DocSecurity>0</DocSecurity>
  <Lines>98</Lines>
  <Paragraphs>64</Paragraphs>
  <ScaleCrop>false</ScaleCrop>
  <HeadingPairs>
    <vt:vector size="2" baseType="variant">
      <vt:variant>
        <vt:lpstr>Назва</vt:lpstr>
      </vt:variant>
      <vt:variant>
        <vt:i4>1</vt:i4>
      </vt:variant>
    </vt:vector>
  </HeadingPairs>
  <TitlesOfParts>
    <vt:vector size="1" baseType="lpstr">
      <vt:lpstr>Untitled</vt:lpstr>
    </vt:vector>
  </TitlesOfParts>
  <Company/>
  <LinksUpToDate>false</LinksUpToDate>
  <CharactersWithSpaces>32454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Лариса Янчук</dc:creator>
  <cp:keywords/>
  <cp:lastModifiedBy>РСР</cp:lastModifiedBy>
  <cp:revision>41</cp:revision>
  <cp:lastPrinted>2021-08-30T09:16:00Z</cp:lastPrinted>
  <dcterms:created xsi:type="dcterms:W3CDTF">2021-08-25T13:51:00Z</dcterms:created>
  <dcterms:modified xsi:type="dcterms:W3CDTF">2021-09-29T11:29:00Z</dcterms:modified>
</cp:coreProperties>
</file>