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DC" w:rsidRDefault="00DD26DC" w:rsidP="00DD26DC">
      <w:pPr>
        <w:tabs>
          <w:tab w:val="left" w:pos="1140"/>
        </w:tabs>
        <w:rPr>
          <w:sz w:val="28"/>
          <w:szCs w:val="28"/>
          <w:lang w:val="uk-UA"/>
        </w:rPr>
      </w:pPr>
    </w:p>
    <w:p w:rsidR="00DD26DC" w:rsidRDefault="00DD26DC" w:rsidP="00DD26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9264" behindDoc="0" locked="0" layoutInCell="1" allowOverlap="1" wp14:anchorId="489B721C" wp14:editId="0E756501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>Україна</w:t>
      </w:r>
    </w:p>
    <w:p w:rsidR="00DD26DC" w:rsidRDefault="00DD26DC" w:rsidP="00DD26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DD26DC" w:rsidRDefault="00DD26DC" w:rsidP="00DD26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DD26DC" w:rsidRDefault="00DD26DC" w:rsidP="00DD26DC">
      <w:pPr>
        <w:pStyle w:val="a3"/>
        <w:ind w:left="141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  </w:t>
      </w:r>
    </w:p>
    <w:p w:rsidR="00DD26DC" w:rsidRDefault="00DD26DC" w:rsidP="00DD26DC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294- 8/21</w:t>
      </w:r>
    </w:p>
    <w:p w:rsidR="00DD26DC" w:rsidRDefault="00DD26DC" w:rsidP="00DD26D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DD26DC" w:rsidRDefault="00DD26DC" w:rsidP="00DD26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D26DC" w:rsidRDefault="00DD26DC" w:rsidP="00DD26D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DD26DC" w:rsidRDefault="00DD26DC" w:rsidP="00DD26DC">
      <w:pPr>
        <w:pStyle w:val="a3"/>
        <w:rPr>
          <w:rFonts w:ascii="Times New Roman" w:eastAsia="Times New Roman" w:hAnsi="Times New Roman"/>
          <w:sz w:val="28"/>
          <w:szCs w:val="28"/>
        </w:rPr>
      </w:pPr>
    </w:p>
    <w:p w:rsidR="00DD26DC" w:rsidRDefault="00DD26DC" w:rsidP="00DD26DC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 </w:t>
      </w:r>
    </w:p>
    <w:p w:rsidR="00DD26DC" w:rsidRPr="00AE1C69" w:rsidRDefault="00DD26DC" w:rsidP="00DD26DC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AE1C69">
        <w:rPr>
          <w:b/>
          <w:sz w:val="28"/>
          <w:szCs w:val="28"/>
          <w:lang w:val="uk-UA"/>
        </w:rPr>
        <w:t xml:space="preserve">Про затвердження Правил благоустрою </w:t>
      </w:r>
    </w:p>
    <w:p w:rsidR="00DD26DC" w:rsidRPr="00AE1C69" w:rsidRDefault="00DD26DC" w:rsidP="00DD26DC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AE1C69">
        <w:rPr>
          <w:b/>
          <w:sz w:val="28"/>
          <w:szCs w:val="28"/>
          <w:lang w:val="uk-UA"/>
        </w:rPr>
        <w:t xml:space="preserve">території </w:t>
      </w:r>
      <w:proofErr w:type="spellStart"/>
      <w:r w:rsidRPr="00AE1C69">
        <w:rPr>
          <w:b/>
          <w:sz w:val="28"/>
          <w:szCs w:val="28"/>
          <w:lang w:val="uk-UA"/>
        </w:rPr>
        <w:t>Романівської</w:t>
      </w:r>
      <w:proofErr w:type="spellEnd"/>
      <w:r w:rsidRPr="00AE1C69">
        <w:rPr>
          <w:b/>
          <w:sz w:val="28"/>
          <w:szCs w:val="28"/>
          <w:lang w:val="uk-UA"/>
        </w:rPr>
        <w:t xml:space="preserve"> селищної ради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D26DC" w:rsidRDefault="00DD26DC" w:rsidP="00DD26D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благоустрою території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підвищення відповідальності посадових осіб підприємств, установ і організацій, незалежно від форм власності, а також громадян за стан благоустрою та санітарний стан, формування сприятливого для життєдіяльності людини середовища, захисту довкілля, покращення санітарного стану, збереження об’єктів та елементів благоустрою, зелених насаджень на території 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відповідно до ст.10, 20 Закону України «Про благоустрій населених пунктів», керуючись ст.10, п.44 ст.26 Закону України «Про місцеве самоврядування в Україні», враховуючи рекомендації постійної комісії з питань земельних відносин, будівництва та архітектури, селищна рада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ВИРІШИЛА: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DD26DC" w:rsidRDefault="00DD26DC" w:rsidP="00DD26D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Правила благоустрою території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що додаються.</w:t>
      </w:r>
    </w:p>
    <w:p w:rsidR="00DD26DC" w:rsidRDefault="00DD26DC" w:rsidP="00DD26D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Рішення набуває чинності з моменту його опублікування на офіційному веб-сайті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DD26DC" w:rsidRDefault="00DD26DC" w:rsidP="00DD26D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земельних відносин, будівництва та архітектури</w:t>
      </w:r>
      <w:r>
        <w:rPr>
          <w:sz w:val="28"/>
          <w:szCs w:val="28"/>
          <w:lang w:val="uk-UA"/>
        </w:rPr>
        <w:t>.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                                                     Володимир САВЧЕНКО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DD26DC" w:rsidRDefault="00DD26DC" w:rsidP="00DD26D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92"/>
    <w:rsid w:val="00DD26DC"/>
    <w:rsid w:val="00E91FD4"/>
    <w:rsid w:val="00FB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6D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6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2021-04-28T13:07:00Z</dcterms:created>
  <dcterms:modified xsi:type="dcterms:W3CDTF">2021-04-28T13:07:00Z</dcterms:modified>
</cp:coreProperties>
</file>