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CAC7703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widowControl w:val="1"/>
        <w:spacing w:lineRule="auto" w:line="360" w:beforeAutospacing="0" w:afterAutospacing="0"/>
        <w:jc w:val="center"/>
        <w:rPr>
          <w:rFonts w:ascii="Calibri" w:hAnsi="Calibri"/>
          <w:b w:val="1"/>
          <w:noProof w:val="1"/>
          <w:sz w:val="22"/>
        </w:rPr>
      </w:pPr>
      <w:r>
        <w:drawing>
          <wp:inline xmlns:wp="http://schemas.openxmlformats.org/drawingml/2006/wordprocessingDrawing">
            <wp:extent cx="438150" cy="6096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96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widowControl w:val="1"/>
        <w:spacing w:lineRule="auto" w:line="360" w:beforeAutospacing="0" w:afterAutospacing="0"/>
        <w:jc w:val="center"/>
        <w:rPr>
          <w:b w:val="1"/>
          <w:noProof w:val="1"/>
          <w:sz w:val="28"/>
        </w:rPr>
      </w:pPr>
      <w:r>
        <w:rPr>
          <w:b w:val="1"/>
          <w:noProof w:val="1"/>
          <w:sz w:val="28"/>
        </w:rPr>
        <w:t xml:space="preserve">УКРАЇНА </w:t>
      </w:r>
    </w:p>
    <w:p>
      <w:pPr>
        <w:widowControl w:val="1"/>
        <w:jc w:val="center"/>
        <w:rPr>
          <w:b w:val="1"/>
          <w:sz w:val="28"/>
        </w:rPr>
      </w:pPr>
      <w:r>
        <w:rPr>
          <w:b w:val="1"/>
          <w:sz w:val="28"/>
        </w:rPr>
        <w:t>КРАСНОПІЛЬСЬКА СІЛЬСЬКА РАДА</w:t>
      </w:r>
    </w:p>
    <w:p>
      <w:pPr>
        <w:widowControl w:val="1"/>
        <w:jc w:val="center"/>
        <w:rPr>
          <w:b w:val="1"/>
          <w:sz w:val="28"/>
        </w:rPr>
      </w:pPr>
      <w:r>
        <w:rPr>
          <w:b w:val="1"/>
          <w:sz w:val="28"/>
        </w:rPr>
        <w:t>БЕРДИЧІВСЬКОГО РАЙОНУ ЖИТОМИРСЬКОЇ ОБЛАСТІ</w:t>
      </w:r>
    </w:p>
    <w:p>
      <w:pPr>
        <w:widowControl w:val="1"/>
        <w:jc w:val="center"/>
        <w:rPr>
          <w:b w:val="1"/>
          <w:sz w:val="28"/>
        </w:rPr>
      </w:pPr>
      <w:r>
        <w:rPr>
          <w:b w:val="1"/>
          <w:sz w:val="28"/>
        </w:rPr>
        <w:t xml:space="preserve">11 </w:t>
      </w:r>
      <w:r>
        <w:rPr>
          <w:b w:val="1"/>
          <w:sz w:val="28"/>
        </w:rPr>
        <w:t xml:space="preserve">сесія  </w:t>
      </w:r>
      <w:bookmarkStart w:id="0" w:name="_GoBack"/>
      <w:bookmarkEnd w:id="0"/>
      <w:r>
        <w:rPr>
          <w:b w:val="1"/>
          <w:sz w:val="28"/>
        </w:rPr>
        <w:t xml:space="preserve">VIIІ  скликання</w:t>
      </w:r>
    </w:p>
    <w:p>
      <w:pPr>
        <w:widowControl w:val="1"/>
        <w:jc w:val="center"/>
        <w:rPr>
          <w:b w:val="1"/>
          <w:sz w:val="28"/>
        </w:rPr>
      </w:pPr>
      <w:r>
        <w:rPr>
          <w:b w:val="1"/>
          <w:sz w:val="28"/>
        </w:rPr>
        <w:t xml:space="preserve">                  </w:t>
      </w:r>
    </w:p>
    <w:p>
      <w:pPr>
        <w:widowControl w:val="1"/>
        <w:spacing w:lineRule="auto" w:line="276" w:beforeAutospacing="0" w:afterAutospacing="0"/>
        <w:jc w:val="center"/>
        <w:rPr>
          <w:b w:val="1"/>
          <w:sz w:val="28"/>
        </w:rPr>
      </w:pPr>
      <w:r>
        <w:rPr>
          <w:b w:val="1"/>
          <w:sz w:val="28"/>
        </w:rPr>
        <w:t>Р І Ш Е Н Н Я</w:t>
      </w:r>
    </w:p>
    <w:p>
      <w:pPr>
        <w:keepNext w:val="1"/>
        <w:widowControl w:val="1"/>
        <w:spacing w:lineRule="auto" w:line="276" w:beforeAutospacing="0" w:afterAutospacing="0"/>
        <w:outlineLvl w:val="0"/>
        <w:rPr>
          <w:b w:val="1"/>
          <w:sz w:val="28"/>
        </w:rPr>
      </w:pPr>
    </w:p>
    <w:p>
      <w:pPr>
        <w:keepNext w:val="1"/>
        <w:widowControl w:val="1"/>
        <w:spacing w:lineRule="auto" w:line="276" w:beforeAutospacing="0" w:afterAutospacing="0"/>
        <w:outlineLvl w:val="0"/>
        <w:rPr>
          <w:sz w:val="28"/>
        </w:rPr>
      </w:pPr>
      <w:r>
        <w:rPr>
          <w:sz w:val="28"/>
        </w:rPr>
        <w:t xml:space="preserve">від </w:t>
      </w:r>
      <w:r>
        <w:rPr>
          <w:sz w:val="28"/>
        </w:rPr>
        <w:t xml:space="preserve"> 06 </w:t>
      </w:r>
      <w:r>
        <w:rPr>
          <w:sz w:val="28"/>
        </w:rPr>
        <w:t xml:space="preserve">жовтня 2021 року                                          </w:t>
      </w:r>
      <w:r>
        <w:rPr>
          <w:sz w:val="28"/>
        </w:rPr>
        <w:t xml:space="preserve">            №</w:t>
      </w:r>
      <w:r>
        <w:rPr>
          <w:sz w:val="28"/>
        </w:rPr>
        <w:t>710</w:t>
      </w:r>
    </w:p>
    <w:p>
      <w:pPr>
        <w:keepNext w:val="1"/>
        <w:widowControl w:val="1"/>
        <w:spacing w:lineRule="auto" w:line="276" w:beforeAutospacing="0" w:afterAutospacing="0"/>
        <w:outlineLvl w:val="0"/>
        <w:rPr>
          <w:sz w:val="28"/>
        </w:rPr>
      </w:pPr>
    </w:p>
    <w:p>
      <w:pPr>
        <w:rPr>
          <w:b w:val="1"/>
          <w:sz w:val="28"/>
        </w:rPr>
      </w:pPr>
      <w:r>
        <w:rPr>
          <w:b w:val="1"/>
          <w:sz w:val="28"/>
        </w:rPr>
        <w:t xml:space="preserve">Про включення до Переліку другого типу об’єктів </w:t>
        <w:br w:type="textWrapping"/>
        <w:t xml:space="preserve">комунальної власності Краснопільської сільської ради </w:t>
      </w:r>
    </w:p>
    <w:p>
      <w:pPr>
        <w:shd w:val="clear" w:fill="FFFFFF"/>
        <w:jc w:val="both"/>
        <w:rPr>
          <w:b w:val="1"/>
          <w:sz w:val="28"/>
        </w:rPr>
      </w:pPr>
      <w:r>
        <w:rPr>
          <w:b w:val="1"/>
          <w:sz w:val="28"/>
        </w:rPr>
        <w:t>для передачі в оренду без проведення аукціону</w:t>
      </w:r>
    </w:p>
    <w:p>
      <w:pPr>
        <w:shd w:val="clear" w:fill="FFFFFF"/>
        <w:ind w:firstLine="709"/>
        <w:jc w:val="both"/>
        <w:rPr>
          <w:color w:val="000000"/>
          <w:sz w:val="28"/>
        </w:rPr>
      </w:pPr>
    </w:p>
    <w:p>
      <w:pPr>
        <w:shd w:val="clear" w:fill="FFFFFF"/>
        <w:tabs>
          <w:tab w:val="left" w:pos="8261" w:leader="none"/>
        </w:tabs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Відповідно до Закону України «Про оренду державного та комунального майна» від 03.10.2019 р. № 157-ІХ, Порядку передачі в оренду державного та комунального майна, затвердженого постановою Кабінету Міністрів України від 03.06.2020 р. № 483, керуючись </w:t>
      </w:r>
      <w:r>
        <w:rPr>
          <w:color w:val="000000"/>
          <w:sz w:val="28"/>
        </w:rPr>
        <w:t xml:space="preserve">ст. 25, 26, 60 </w:t>
      </w:r>
      <w:r>
        <w:rPr>
          <w:sz w:val="28"/>
        </w:rPr>
        <w:t>Закону України «Про місцеве самоврядування в Україні», рішенням 5 сесії VIII скликання Краснопільської сільської ради від 12.02.2021 року № 108 «Про врегулювання деяких питань оренди комунального майна Краснопільської сільської ради»</w:t>
      </w:r>
      <w:r>
        <w:rPr>
          <w:rStyle w:val="C3"/>
          <w:sz w:val="28"/>
          <w:shd w:val="clear" w:fill="FFFFFF"/>
        </w:rPr>
        <w:t>,</w:t>
      </w:r>
      <w:r>
        <w:rPr>
          <w:sz w:val="28"/>
        </w:rPr>
        <w:t xml:space="preserve"> розглянувши заяви заступника начальника Головного управління Національної поліції в Житомирській області Артема Лисогора № 980/105/04/31-2021 від 03.08.2021 року за вхід. № 1125/03-29 від 18.08.2021 року</w:t>
      </w:r>
      <w:r>
        <w:rPr>
          <w:color w:val="000000"/>
          <w:sz w:val="28"/>
        </w:rPr>
        <w:t>, начальника фінансового відділу Краснопільської сільської ради Тетяни Сидоренко № 46 від 20.09.2021 року, сільська рада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ВИРІШИЛА:</w:t>
      </w:r>
    </w:p>
    <w:p>
      <w:pPr>
        <w:shd w:val="clear" w:fill="FFFFFF"/>
        <w:ind w:firstLine="709"/>
        <w:jc w:val="both"/>
        <w:rPr>
          <w:sz w:val="16"/>
        </w:rPr>
      </w:pPr>
    </w:p>
    <w:p>
      <w:pPr>
        <w:widowControl w:val="1"/>
        <w:ind w:firstLine="709"/>
        <w:jc w:val="both"/>
        <w:rPr>
          <w:noProof w:val="1"/>
          <w:sz w:val="28"/>
        </w:rPr>
      </w:pPr>
      <w:r>
        <w:rPr>
          <w:noProof w:val="1"/>
          <w:sz w:val="28"/>
        </w:rPr>
        <w:t xml:space="preserve">1. Включити до Переліку другого типу об’єктів комунальної власності Краснопільської сільської ради для передачі в оренду без проведення аукціону приміщення згідно додатку. </w:t>
      </w:r>
    </w:p>
    <w:p>
      <w:pPr>
        <w:widowControl w:val="1"/>
        <w:ind w:firstLine="709"/>
        <w:jc w:val="both"/>
        <w:rPr>
          <w:sz w:val="16"/>
        </w:rPr>
      </w:pPr>
    </w:p>
    <w:p>
      <w:pPr>
        <w:widowControl w:val="1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2. Відділу земельних відносин та житлово-комунального господарства Краснопільської сільської ради (Бистрицькому О.В.) </w:t>
      </w:r>
      <w:r>
        <w:rPr>
          <w:color w:val="000000"/>
          <w:sz w:val="28"/>
        </w:rPr>
        <w:t>оприлюднити дане рішення відповідно до чинного законодавства.</w:t>
      </w:r>
    </w:p>
    <w:p>
      <w:pPr>
        <w:shd w:val="clear" w:fill="FFFFFF"/>
        <w:tabs>
          <w:tab w:val="left" w:pos="8261" w:leader="none"/>
        </w:tabs>
        <w:ind w:firstLine="709"/>
        <w:jc w:val="both"/>
        <w:rPr>
          <w:color w:val="000000"/>
          <w:sz w:val="16"/>
        </w:rPr>
      </w:pPr>
    </w:p>
    <w:p>
      <w:pPr>
        <w:shd w:val="clear" w:fill="FFFFFF"/>
        <w:tabs>
          <w:tab w:val="left" w:pos="8261" w:leader="none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 Контроль за виконанням даного рішення покласти на постійну комісію </w:t>
      </w:r>
      <w:r>
        <w:rPr>
          <w:sz w:val="28"/>
        </w:rPr>
        <w:t>сільської ради з питань фінансів, бюджету, планування соціально-економічного розвитку, комунальної власності, житлово-комунального господарства.</w:t>
      </w:r>
    </w:p>
    <w:p>
      <w:pPr>
        <w:shd w:val="clear" w:fill="FFFFFF"/>
        <w:tabs>
          <w:tab w:val="left" w:pos="6158" w:leader="none"/>
        </w:tabs>
        <w:jc w:val="both"/>
        <w:rPr>
          <w:color w:val="000000"/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r>
        <w:rPr>
          <w:sz w:val="28"/>
        </w:rPr>
        <w:t xml:space="preserve">Секретар ради                                                          Жанна ДЕМ'ЯНЧУК</w:t>
      </w:r>
    </w:p>
    <w:p>
      <w:pPr>
        <w:widowControl w:val="1"/>
        <w:sectPr>
          <w:type w:val="nextPage"/>
          <w:pgSz w:w="11909" w:h="16834" w:code="9"/>
          <w:pgMar w:left="1421" w:right="845" w:top="851" w:bottom="720" w:header="720" w:footer="720" w:gutter="0"/>
          <w:cols w:equalWidth="1" w:space="720"/>
        </w:sectPr>
      </w:pPr>
    </w:p>
    <w:tbl>
      <w:tblPr>
        <w:tblW w:w="9612" w:type="dxa"/>
        <w:tblInd w:w="108" w:type="dxa"/>
        <w:tblLayout w:type="fixed"/>
        <w:tblLook w:val="04A0"/>
      </w:tblPr>
      <w:tblGrid/>
      <w:tr>
        <w:trPr>
          <w:trHeight w:hRule="atLeast" w:val="797"/>
        </w:trPr>
        <w:tc>
          <w:tcPr>
            <w:tcW w:w="4500" w:type="dxa"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ind w:firstLine="709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ПІДГОТУВАВ:</w:t>
            </w:r>
          </w:p>
          <w:p>
            <w:pPr>
              <w:widowControl w:val="1"/>
              <w:tabs>
                <w:tab w:val="left" w:pos="4860" w:leader="none"/>
                <w:tab w:val="left" w:pos="6015" w:leader="none"/>
              </w:tabs>
              <w:ind w:firstLine="709"/>
              <w:rPr>
                <w:sz w:val="28"/>
              </w:rPr>
            </w:pPr>
          </w:p>
        </w:tc>
        <w:tc>
          <w:tcPr>
            <w:tcW w:w="5112" w:type="dxa"/>
          </w:tcPr>
          <w:p>
            <w:pPr>
              <w:widowControl w:val="1"/>
              <w:ind w:firstLine="709"/>
              <w:jc w:val="both"/>
              <w:rPr>
                <w:sz w:val="28"/>
                <w:u w:val="single"/>
              </w:rPr>
            </w:pPr>
          </w:p>
        </w:tc>
      </w:tr>
      <w:tr>
        <w:trPr>
          <w:trHeight w:hRule="atLeast" w:val="1531"/>
        </w:trPr>
        <w:tc>
          <w:tcPr>
            <w:tcW w:w="4500" w:type="dxa"/>
            <w:hideMark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Спеціаліст-юрисконсульт </w:t>
            </w:r>
          </w:p>
          <w:p>
            <w:pPr>
              <w:widowControl w:val="1"/>
              <w:tabs>
                <w:tab w:val="left" w:pos="4860" w:leader="none"/>
                <w:tab w:val="left" w:pos="6015" w:leader="none"/>
              </w:tabs>
              <w:rPr>
                <w:b w:val="1"/>
                <w:sz w:val="28"/>
              </w:rPr>
            </w:pPr>
            <w:r>
              <w:rPr>
                <w:sz w:val="28"/>
              </w:rPr>
              <w:t>відділу кадрового та правового забезпечення</w:t>
            </w:r>
          </w:p>
        </w:tc>
        <w:tc>
          <w:tcPr>
            <w:tcW w:w="5112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Іван ЛИНЧИК</w:t>
            </w:r>
          </w:p>
        </w:tc>
      </w:tr>
      <w:tr>
        <w:trPr>
          <w:trHeight w:hRule="atLeast" w:val="812"/>
        </w:trPr>
        <w:tc>
          <w:tcPr>
            <w:tcW w:w="4500" w:type="dxa"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ind w:firstLine="709"/>
              <w:rPr>
                <w:sz w:val="28"/>
              </w:rPr>
            </w:pPr>
            <w:r>
              <w:rPr>
                <w:b w:val="1"/>
                <w:sz w:val="28"/>
              </w:rPr>
              <w:t>ПОГОДЖЕНО:</w:t>
            </w:r>
          </w:p>
          <w:p>
            <w:pPr>
              <w:widowControl w:val="1"/>
              <w:tabs>
                <w:tab w:val="left" w:pos="4860" w:leader="none"/>
                <w:tab w:val="left" w:pos="6015" w:leader="none"/>
              </w:tabs>
              <w:ind w:firstLine="709"/>
              <w:rPr>
                <w:b w:val="1"/>
                <w:sz w:val="28"/>
              </w:rPr>
            </w:pPr>
          </w:p>
        </w:tc>
        <w:tc>
          <w:tcPr>
            <w:tcW w:w="5112" w:type="dxa"/>
          </w:tcPr>
          <w:p>
            <w:pPr>
              <w:widowControl w:val="1"/>
              <w:ind w:firstLine="709"/>
              <w:jc w:val="right"/>
              <w:rPr>
                <w:sz w:val="28"/>
              </w:rPr>
            </w:pPr>
          </w:p>
        </w:tc>
      </w:tr>
      <w:tr>
        <w:trPr>
          <w:trHeight w:hRule="atLeast" w:val="1445"/>
        </w:trPr>
        <w:tc>
          <w:tcPr>
            <w:tcW w:w="4500" w:type="dxa"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rPr>
                <w:sz w:val="28"/>
              </w:rPr>
            </w:pPr>
            <w:r>
              <w:rPr>
                <w:sz w:val="28"/>
              </w:rPr>
              <w:t>Начальник відділу земельних відносин та житлово-комунального господарства</w:t>
            </w:r>
          </w:p>
          <w:p>
            <w:pPr>
              <w:widowControl w:val="1"/>
              <w:tabs>
                <w:tab w:val="left" w:pos="4860" w:leader="none"/>
                <w:tab w:val="left" w:pos="6015" w:leader="none"/>
              </w:tabs>
              <w:rPr>
                <w:sz w:val="28"/>
              </w:rPr>
            </w:pPr>
          </w:p>
        </w:tc>
        <w:tc>
          <w:tcPr>
            <w:tcW w:w="5112" w:type="dxa"/>
            <w:hideMark/>
          </w:tcPr>
          <w:p>
            <w:pPr>
              <w:widowControl w:val="1"/>
              <w:ind w:firstLine="709"/>
              <w:jc w:val="right"/>
              <w:rPr>
                <w:sz w:val="28"/>
              </w:rPr>
            </w:pPr>
          </w:p>
          <w:p>
            <w:pPr>
              <w:widowControl w:val="1"/>
              <w:ind w:firstLine="709"/>
              <w:jc w:val="right"/>
              <w:rPr>
                <w:sz w:val="28"/>
              </w:rPr>
            </w:pP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Олександр БИСТРИЦЬКИЙ</w:t>
            </w:r>
          </w:p>
        </w:tc>
      </w:tr>
      <w:tr>
        <w:trPr>
          <w:trHeight w:hRule="atLeast" w:val="1531"/>
        </w:trPr>
        <w:tc>
          <w:tcPr>
            <w:tcW w:w="4500" w:type="dxa"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spacing w:after="120" w:beforeAutospacing="0" w:afterAutospacing="0"/>
              <w:rPr>
                <w:sz w:val="28"/>
              </w:rPr>
            </w:pPr>
            <w:r>
              <w:rPr>
                <w:sz w:val="28"/>
              </w:rPr>
              <w:t>Начальник відділу кадрового та правового забезпечення</w:t>
            </w:r>
          </w:p>
          <w:p>
            <w:pPr>
              <w:widowControl w:val="1"/>
              <w:tabs>
                <w:tab w:val="left" w:pos="4860" w:leader="none"/>
                <w:tab w:val="left" w:pos="6015" w:leader="none"/>
              </w:tabs>
              <w:spacing w:after="120" w:beforeAutospacing="0" w:afterAutospacing="0"/>
              <w:rPr>
                <w:sz w:val="28"/>
              </w:rPr>
            </w:pPr>
          </w:p>
        </w:tc>
        <w:tc>
          <w:tcPr>
            <w:tcW w:w="5112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Лідія ШУБЕРТ</w:t>
            </w:r>
          </w:p>
        </w:tc>
      </w:tr>
      <w:tr>
        <w:trPr>
          <w:trHeight w:hRule="atLeast" w:val="1531"/>
        </w:trPr>
        <w:tc>
          <w:tcPr>
            <w:tcW w:w="4500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Діловод відділу кадрового та правового забезпечення</w:t>
            </w:r>
          </w:p>
        </w:tc>
        <w:tc>
          <w:tcPr>
            <w:tcW w:w="5112" w:type="dxa"/>
            <w:hideMark/>
          </w:tcPr>
          <w:p>
            <w:pPr>
              <w:widowControl w:val="1"/>
              <w:ind w:left="7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Карина ЗАДОРОЖНА</w:t>
            </w:r>
          </w:p>
        </w:tc>
      </w:tr>
      <w:tr>
        <w:trPr>
          <w:trHeight w:hRule="atLeast" w:val="1531"/>
        </w:trPr>
        <w:tc>
          <w:tcPr>
            <w:tcW w:w="4500" w:type="dxa"/>
            <w:hideMark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spacing w:after="120" w:beforeAutospacing="0" w:afterAutospacing="0"/>
              <w:rPr>
                <w:sz w:val="28"/>
              </w:rPr>
            </w:pPr>
            <w:r>
              <w:rPr>
                <w:sz w:val="28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5112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Ірина РИБАК</w:t>
            </w:r>
          </w:p>
        </w:tc>
      </w:tr>
      <w:tr>
        <w:trPr>
          <w:trHeight w:hRule="atLeast" w:val="1531"/>
        </w:trPr>
        <w:tc>
          <w:tcPr>
            <w:tcW w:w="4500" w:type="dxa"/>
            <w:hideMark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spacing w:after="120" w:beforeAutospacing="0" w:afterAutospacing="0"/>
              <w:rPr>
                <w:sz w:val="28"/>
              </w:rPr>
            </w:pPr>
            <w:r>
              <w:rPr>
                <w:sz w:val="28"/>
              </w:rPr>
              <w:t>Секретар сільської ради</w:t>
            </w:r>
          </w:p>
        </w:tc>
        <w:tc>
          <w:tcPr>
            <w:tcW w:w="5112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            Жанна ДЕМ’ЯНЧУК</w:t>
            </w:r>
          </w:p>
        </w:tc>
      </w:tr>
    </w:tbl>
    <w:p>
      <w:pPr>
        <w:widowControl w:val="1"/>
        <w:ind w:firstLine="708"/>
        <w:rPr>
          <w:b w:val="1"/>
          <w:sz w:val="28"/>
        </w:rPr>
      </w:pPr>
    </w:p>
    <w:p>
      <w:pPr>
        <w:shd w:val="clear" w:fill="FFFFFF"/>
        <w:tabs>
          <w:tab w:val="left" w:pos="6158" w:leader="none"/>
        </w:tabs>
        <w:jc w:val="both"/>
      </w:pPr>
    </w:p>
    <w:p>
      <w:pPr>
        <w:widowControl w:val="1"/>
        <w:sectPr>
          <w:type w:val="nextPage"/>
          <w:pgSz w:w="11909" w:h="16834" w:code="9"/>
          <w:pgMar w:left="1421" w:right="845" w:top="851" w:bottom="720" w:header="720" w:footer="720" w:gutter="0"/>
          <w:cols w:equalWidth="1" w:space="720"/>
        </w:sectPr>
      </w:pPr>
    </w:p>
    <w:tbl>
      <w:tblPr>
        <w:tblW w:w="13890" w:type="dxa"/>
        <w:tblInd w:w="817" w:type="dxa"/>
        <w:tblLayout w:type="fixed"/>
        <w:tblLook w:val="04A0"/>
      </w:tblPr>
      <w:tblGrid/>
      <w:tr>
        <w:trPr>
          <w:trHeight w:hRule="atLeast" w:val="1348"/>
        </w:trPr>
        <w:tc>
          <w:tcPr>
            <w:tcW w:w="9781" w:type="dxa"/>
            <w:hideMark/>
          </w:tcPr>
          <w:p>
            <w:pPr>
              <w:rPr>
                <w:noProof w:val="1"/>
                <w:sz w:val="28"/>
              </w:rPr>
            </w:pPr>
          </w:p>
        </w:tc>
        <w:tc>
          <w:tcPr>
            <w:tcW w:w="4110" w:type="dxa"/>
            <w:hideMark/>
          </w:tcPr>
          <w:p>
            <w:pPr>
              <w:widowControl w:val="1"/>
              <w:spacing w:lineRule="auto" w:line="256" w:after="160" w:beforeAutospacing="0" w:afterAutospacing="0"/>
              <w:rPr>
                <w:sz w:val="28"/>
              </w:rPr>
            </w:pPr>
            <w:r>
              <w:rPr>
                <w:sz w:val="28"/>
              </w:rPr>
              <w:t xml:space="preserve">Додаток </w:t>
            </w:r>
          </w:p>
          <w:p>
            <w:pPr>
              <w:widowControl w:val="1"/>
              <w:spacing w:lineRule="auto" w:line="256" w:after="160" w:beforeAutospacing="0" w:afterAutospacing="0"/>
              <w:rPr>
                <w:sz w:val="28"/>
              </w:rPr>
            </w:pPr>
            <w:r>
              <w:rPr>
                <w:sz w:val="28"/>
              </w:rPr>
              <w:t xml:space="preserve">до рішення 11 сесії 8 скликання Краснопільської сільської ради </w:t>
            </w:r>
          </w:p>
          <w:p>
            <w:pPr>
              <w:widowControl w:val="1"/>
              <w:spacing w:lineRule="auto" w:line="256" w:after="160" w:beforeAutospacing="0" w:afterAutospacing="0"/>
              <w:rPr>
                <w:sz w:val="28"/>
              </w:rPr>
            </w:pPr>
            <w:r>
              <w:rPr>
                <w:sz w:val="28"/>
              </w:rPr>
              <w:t xml:space="preserve">від </w:t>
            </w:r>
            <w:r>
              <w:rPr>
                <w:sz w:val="28"/>
              </w:rPr>
              <w:t>06.10.2021р.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710</w:t>
            </w:r>
          </w:p>
        </w:tc>
      </w:tr>
    </w:tbl>
    <w:p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>Перелік</w:t>
      </w:r>
    </w:p>
    <w:p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 xml:space="preserve">другого типу </w:t>
      </w:r>
      <w:r>
        <w:rPr>
          <w:b w:val="1"/>
          <w:sz w:val="28"/>
        </w:rPr>
        <w:t>об’єктів комунальної власності Краснопільської сільської ради</w:t>
      </w:r>
    </w:p>
    <w:p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>для передачі в оренду без проведення аукціону</w:t>
      </w:r>
    </w:p>
    <w:tbl>
      <w:tblPr>
        <w:tblW w:w="13965" w:type="dxa"/>
        <w:tblInd w:w="817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fixed"/>
        <w:tblLook w:val="01E0"/>
      </w:tblPr>
      <w:tblGrid/>
      <w:tr>
        <w:tc>
          <w:tcPr>
            <w:tcW w:w="8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>п/п</w:t>
            </w:r>
          </w:p>
        </w:tc>
        <w:tc>
          <w:tcPr>
            <w:tcW w:w="335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>Об’єкт оренди,</w:t>
            </w:r>
          </w:p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адреса розташування, </w:t>
            </w:r>
          </w:p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>площа</w:t>
            </w:r>
          </w:p>
        </w:tc>
        <w:tc>
          <w:tcPr>
            <w:tcW w:w="368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>Балансоутримувач</w:t>
            </w:r>
          </w:p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>адреса</w:t>
            </w:r>
          </w:p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Код за ЄДРПОУ </w:t>
            </w:r>
          </w:p>
        </w:tc>
        <w:tc>
          <w:tcPr>
            <w:tcW w:w="425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>
            <w:pPr>
              <w:widowControl w:val="1"/>
              <w:jc w:val="center"/>
              <w:rPr>
                <w:sz w:val="22"/>
              </w:rPr>
            </w:pPr>
          </w:p>
        </w:tc>
        <w:tc>
          <w:tcPr>
            <w:tcW w:w="177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Примітка  </w:t>
            </w:r>
          </w:p>
        </w:tc>
      </w:tr>
      <w:tr>
        <w:tc>
          <w:tcPr>
            <w:tcW w:w="8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35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68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25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77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>
        <w:tc>
          <w:tcPr>
            <w:tcW w:w="8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ind w:left="-130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35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Частина нежитлового приміщення (три кімнати на І поверсі адміністративного приміщення сільської ради), 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Житомирська область,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с. Краснопіль, 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вул. Центральна, 1,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площею 47,6 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Краснопільська сільська рада Бердичівський район Житомирська область, с. Краснопіль,</w:t>
            </w:r>
          </w:p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вул. Центральна, 1, </w:t>
            </w:r>
          </w:p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(Код за ЄДРПОУ 04345078)</w:t>
            </w:r>
          </w:p>
        </w:tc>
        <w:tc>
          <w:tcPr>
            <w:tcW w:w="425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Для розміщення органів державної влади – Головне управління Національної поліції в Житомирській області Національна поліція України</w:t>
            </w:r>
          </w:p>
        </w:tc>
        <w:tc>
          <w:tcPr>
            <w:tcW w:w="177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Вільний</w:t>
            </w:r>
          </w:p>
          <w:p>
            <w:pPr>
              <w:widowControl w:val="1"/>
              <w:jc w:val="center"/>
              <w:rPr>
                <w:sz w:val="28"/>
              </w:rPr>
            </w:pPr>
          </w:p>
        </w:tc>
      </w:tr>
      <w:tr>
        <w:tc>
          <w:tcPr>
            <w:tcW w:w="899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ind w:left="-13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35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Частина нежитлового приміщення (одна кімната на ІІ поверсі адміністративного приміщення сільської ради), 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Житомирська область,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с. Краснопіль, 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вул. Центральна, 1,</w:t>
            </w:r>
          </w:p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>площею 14,0 м</w:t>
            </w:r>
            <w:r>
              <w:rPr>
                <w:sz w:val="28"/>
                <w:vertAlign w:val="superscript"/>
              </w:rPr>
              <w:t>2</w:t>
            </w:r>
          </w:p>
        </w:tc>
        <w:tc>
          <w:tcPr>
            <w:tcW w:w="368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Краснопільська сільська рада Бердичівський район Житомирська область, с. Краснопіль,</w:t>
            </w:r>
          </w:p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вул. Центральна, 1, </w:t>
            </w:r>
          </w:p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(Код за ЄДРПОУ 04345078</w:t>
            </w:r>
          </w:p>
        </w:tc>
        <w:tc>
          <w:tcPr>
            <w:tcW w:w="425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Для розміщення установ, які фінансуються за рахунок місцевого бюджету – Фінансовий відділ Краснопільської сільської ради</w:t>
            </w:r>
          </w:p>
        </w:tc>
        <w:tc>
          <w:tcPr>
            <w:tcW w:w="177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widowControl w:val="1"/>
              <w:jc w:val="center"/>
              <w:rPr>
                <w:sz w:val="28"/>
              </w:rPr>
            </w:pPr>
            <w:r>
              <w:rPr>
                <w:sz w:val="28"/>
              </w:rPr>
              <w:t>Вільний</w:t>
            </w:r>
          </w:p>
          <w:p>
            <w:pPr>
              <w:widowControl w:val="1"/>
              <w:jc w:val="center"/>
              <w:rPr>
                <w:sz w:val="28"/>
              </w:rPr>
            </w:pPr>
          </w:p>
        </w:tc>
      </w:tr>
    </w:tbl>
    <w:p>
      <w:pPr>
        <w:widowControl w:val="1"/>
        <w:ind w:firstLine="709"/>
        <w:jc w:val="both"/>
        <w:rPr>
          <w:sz w:val="28"/>
        </w:rPr>
      </w:pPr>
    </w:p>
    <w:p>
      <w:pPr>
        <w:widowControl w:val="1"/>
        <w:ind w:firstLine="709"/>
        <w:jc w:val="both"/>
        <w:rPr>
          <w:sz w:val="28"/>
        </w:rPr>
      </w:pPr>
    </w:p>
    <w:tbl>
      <w:tblPr>
        <w:tblW w:w="15896" w:type="dxa"/>
        <w:tblInd w:w="108" w:type="dxa"/>
        <w:tblLayout w:type="fixed"/>
        <w:tblLook w:val="04A0"/>
      </w:tblPr>
      <w:tblGrid/>
      <w:tr>
        <w:trPr>
          <w:trHeight w:hRule="atLeast" w:val="1356"/>
        </w:trPr>
        <w:tc>
          <w:tcPr>
            <w:tcW w:w="7442" w:type="dxa"/>
            <w:hideMark/>
          </w:tcPr>
          <w:p>
            <w:pPr>
              <w:widowControl w:val="1"/>
              <w:tabs>
                <w:tab w:val="left" w:pos="4860" w:leader="none"/>
                <w:tab w:val="left" w:pos="6015" w:leader="none"/>
              </w:tabs>
              <w:spacing w:after="120" w:beforeAutospacing="0" w:afterAutospacing="0"/>
              <w:rPr>
                <w:sz w:val="28"/>
              </w:rPr>
            </w:pPr>
            <w:r>
              <w:rPr>
                <w:sz w:val="28"/>
              </w:rPr>
              <w:t>Секретар сільської ради</w:t>
            </w:r>
          </w:p>
        </w:tc>
        <w:tc>
          <w:tcPr>
            <w:tcW w:w="8454" w:type="dxa"/>
            <w:hideMark/>
          </w:tcPr>
          <w:p>
            <w:pPr>
              <w:widowControl w:val="1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Жанна ДЕМ’ЯНЧУК</w:t>
            </w:r>
          </w:p>
        </w:tc>
      </w:tr>
    </w:tbl>
    <w:p/>
    <w:sectPr>
      <w:type w:val="nextPage"/>
      <w:pgSz w:w="16838" w:h="11906" w:code="9" w:orient="landscape"/>
      <w:pgMar w:left="850" w:right="850" w:top="1417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0"/>
      <w:spacing w:lineRule="auto" w:line="240" w:after="0" w:beforeAutospacing="0" w:afterAutospacing="0"/>
    </w:pPr>
    <w:rPr>
      <w:rFonts w:ascii="Times New Roman" w:hAnsi="Times New Roman"/>
      <w:sz w:val="20"/>
    </w:rPr>
  </w:style>
  <w:style w:type="paragraph" w:styleId="P1">
    <w:name w:val="Balloon Text"/>
    <w:basedOn w:val="P0"/>
    <w:link w:val="C4"/>
    <w:semiHidden/>
    <w:pPr/>
    <w:rPr>
      <w:rFonts w:ascii="Segoe UI" w:hAnsi="Segoe UI"/>
      <w:sz w:val="1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rvts23"/>
    <w:basedOn w:val="C0"/>
    <w:rPr/>
  </w:style>
  <w:style w:type="character" w:styleId="C4">
    <w:name w:val="Текст выноски Знак"/>
    <w:basedOn w:val="C0"/>
    <w:link w:val="P1"/>
    <w:semiHidden/>
    <w:rPr>
      <w:rFonts w:ascii="Segoe UI" w:hAnsi="Segoe UI"/>
      <w:sz w:val="18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