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4DE" w:rsidRPr="006B0EEE" w:rsidRDefault="008A04DE" w:rsidP="008A04DE">
      <w:pPr>
        <w:spacing w:before="120"/>
        <w:jc w:val="both"/>
        <w:rPr>
          <w:b/>
          <w:bCs/>
          <w:sz w:val="22"/>
          <w:szCs w:val="22"/>
        </w:rPr>
      </w:pPr>
      <w:r w:rsidRPr="006B0EEE">
        <w:rPr>
          <w:b/>
          <w:bCs/>
          <w:sz w:val="22"/>
          <w:szCs w:val="22"/>
        </w:rPr>
        <w:t>Р</w:t>
      </w:r>
      <w:bookmarkStart w:id="0" w:name="_GoBack"/>
      <w:bookmarkEnd w:id="0"/>
      <w:r w:rsidRPr="006B0EEE">
        <w:rPr>
          <w:b/>
          <w:bCs/>
          <w:sz w:val="22"/>
          <w:szCs w:val="22"/>
        </w:rPr>
        <w:t>озділ 1. ІНСТРУКЦІЇ УЧАСНИКАМ КОНКУРСУ</w:t>
      </w:r>
      <w:r w:rsidRPr="006B0EEE">
        <w:rPr>
          <w:rStyle w:val="a9"/>
          <w:b/>
          <w:bCs/>
          <w:sz w:val="22"/>
          <w:szCs w:val="22"/>
        </w:rPr>
        <w:footnoteReference w:customMarkFollows="1" w:id="1"/>
        <w:sym w:font="Symbol" w:char="F02A"/>
      </w:r>
    </w:p>
    <w:p w:rsidR="008A04DE" w:rsidRPr="006B0EEE" w:rsidRDefault="008A04DE" w:rsidP="008A04DE">
      <w:pPr>
        <w:numPr>
          <w:ilvl w:val="0"/>
          <w:numId w:val="3"/>
        </w:numPr>
        <w:spacing w:before="120"/>
        <w:ind w:left="0" w:firstLine="0"/>
        <w:jc w:val="both"/>
        <w:rPr>
          <w:sz w:val="22"/>
          <w:szCs w:val="22"/>
        </w:rPr>
      </w:pPr>
      <w:r w:rsidRPr="006B0EEE">
        <w:rPr>
          <w:b/>
          <w:sz w:val="22"/>
          <w:szCs w:val="22"/>
        </w:rPr>
        <w:t xml:space="preserve">Обсяг Робіт: </w:t>
      </w:r>
      <w:r w:rsidRPr="006B0EEE">
        <w:rPr>
          <w:sz w:val="22"/>
          <w:szCs w:val="22"/>
        </w:rPr>
        <w:t>Замовник пропонує надати Конкурсні пропозиції на виконання ремонтно-будівельних робіт, зазначених в цьому технічному завданні.  Підрядник, що переможе у конкурсі, повинен завершити виконання робіт до Очікуваної дати завершення робіт.  Конкурсна пропозиція підрядника, що не погоджується виконати роботи впродовж строку, зазначеного у „Проформі цінової пропозиції” цієї Тендерної документації, – відхиляється.</w:t>
      </w:r>
    </w:p>
    <w:p w:rsidR="008A04DE" w:rsidRPr="006B0EEE" w:rsidRDefault="008A04DE" w:rsidP="008A04DE">
      <w:pPr>
        <w:numPr>
          <w:ilvl w:val="0"/>
          <w:numId w:val="3"/>
        </w:numPr>
        <w:spacing w:before="120"/>
        <w:ind w:left="0" w:firstLine="0"/>
        <w:jc w:val="both"/>
        <w:rPr>
          <w:sz w:val="22"/>
          <w:szCs w:val="22"/>
        </w:rPr>
      </w:pPr>
      <w:r w:rsidRPr="006B0EEE">
        <w:rPr>
          <w:b/>
          <w:sz w:val="22"/>
          <w:szCs w:val="22"/>
        </w:rPr>
        <w:t xml:space="preserve">Право на участь у Конкурсі: </w:t>
      </w:r>
      <w:r w:rsidRPr="006B0EEE">
        <w:rPr>
          <w:sz w:val="22"/>
          <w:szCs w:val="22"/>
        </w:rPr>
        <w:t>Крім організацій недержавної форми власності, у Конкурсі також мають право брати участь українські організації-Підрядники державної форми власності, якщо вони:</w:t>
      </w:r>
    </w:p>
    <w:p w:rsidR="008A04DE" w:rsidRPr="006B0EEE" w:rsidRDefault="008A04DE" w:rsidP="008A04DE">
      <w:pPr>
        <w:spacing w:before="120"/>
        <w:jc w:val="both"/>
        <w:rPr>
          <w:sz w:val="22"/>
          <w:szCs w:val="22"/>
        </w:rPr>
      </w:pPr>
      <w:r w:rsidRPr="006B0EEE">
        <w:rPr>
          <w:sz w:val="22"/>
          <w:szCs w:val="22"/>
        </w:rPr>
        <w:t>(a) є юридичними особами, здійснюють підприємницьку діяльність, а також – не належать до осіб, пов’язаних з Замовником або органами державної влади/управління;</w:t>
      </w:r>
    </w:p>
    <w:p w:rsidR="008A04DE" w:rsidRPr="006B0EEE" w:rsidRDefault="008A04DE" w:rsidP="008A04DE">
      <w:pPr>
        <w:spacing w:before="120"/>
        <w:jc w:val="both"/>
        <w:rPr>
          <w:sz w:val="22"/>
          <w:szCs w:val="22"/>
        </w:rPr>
      </w:pPr>
      <w:r w:rsidRPr="006B0EEE">
        <w:rPr>
          <w:sz w:val="22"/>
          <w:szCs w:val="22"/>
        </w:rPr>
        <w:t>(b) є фінансово незалежними і, відповідно до своїх статутів, мають окремі рахунки, право отримувати прибуток на власний капітал (статутний фонд), мають право залучати кредити та отримувати прибуток від реалізації товарів чи робіт/послуг;</w:t>
      </w:r>
    </w:p>
    <w:p w:rsidR="008A04DE" w:rsidRPr="006B0EEE" w:rsidRDefault="008A04DE" w:rsidP="008A04DE">
      <w:pPr>
        <w:spacing w:before="120"/>
        <w:jc w:val="both"/>
        <w:rPr>
          <w:sz w:val="22"/>
          <w:szCs w:val="22"/>
        </w:rPr>
      </w:pPr>
      <w:r w:rsidRPr="006B0EEE">
        <w:rPr>
          <w:sz w:val="22"/>
          <w:szCs w:val="22"/>
        </w:rPr>
        <w:t xml:space="preserve">Кожний Учасник Конкурсу може надати тільки одну Конкурсну пропозицію.  </w:t>
      </w:r>
    </w:p>
    <w:p w:rsidR="008A04DE" w:rsidRPr="006B0EEE" w:rsidRDefault="008A04DE" w:rsidP="008A04DE">
      <w:pPr>
        <w:spacing w:before="120"/>
        <w:jc w:val="both"/>
        <w:rPr>
          <w:b/>
          <w:sz w:val="22"/>
          <w:szCs w:val="22"/>
        </w:rPr>
      </w:pPr>
    </w:p>
    <w:p w:rsidR="008A04DE" w:rsidRPr="006B0EEE" w:rsidRDefault="008A04DE" w:rsidP="008A04DE">
      <w:pPr>
        <w:spacing w:before="120"/>
        <w:jc w:val="both"/>
        <w:rPr>
          <w:sz w:val="22"/>
          <w:szCs w:val="22"/>
        </w:rPr>
      </w:pPr>
      <w:r w:rsidRPr="006B0EEE">
        <w:rPr>
          <w:b/>
          <w:sz w:val="22"/>
          <w:szCs w:val="22"/>
        </w:rPr>
        <w:t>3.  Кваліфікаційні вимоги до Учасників Конкурсу:</w:t>
      </w:r>
      <w:r w:rsidRPr="006B0EEE">
        <w:rPr>
          <w:sz w:val="22"/>
          <w:szCs w:val="22"/>
        </w:rPr>
        <w:t xml:space="preserve">  Для участі у Конкурсі, Учасник повинен відповідати таким мінімальним (кваліфікаційним) критеріям:</w:t>
      </w:r>
    </w:p>
    <w:p w:rsidR="008A04DE" w:rsidRPr="006B0EEE" w:rsidRDefault="008A04DE" w:rsidP="008A04DE">
      <w:pPr>
        <w:spacing w:before="120"/>
        <w:ind w:right="100"/>
        <w:jc w:val="both"/>
        <w:rPr>
          <w:sz w:val="22"/>
          <w:szCs w:val="22"/>
        </w:rPr>
      </w:pPr>
      <w:r w:rsidRPr="006B0EEE">
        <w:rPr>
          <w:sz w:val="22"/>
          <w:szCs w:val="22"/>
        </w:rPr>
        <w:t>(a) Мати чинну ліцензію на виконання ремонтно-будівельних Робіт, термін дії якої повинен бути не меншим від терміну виконання ремонтно-будівельних робіт за Договором;</w:t>
      </w:r>
    </w:p>
    <w:p w:rsidR="008A04DE" w:rsidRPr="006B0EEE" w:rsidRDefault="008A04DE" w:rsidP="008A04DE">
      <w:pPr>
        <w:spacing w:before="120"/>
        <w:jc w:val="both"/>
        <w:rPr>
          <w:sz w:val="22"/>
          <w:szCs w:val="22"/>
        </w:rPr>
      </w:pPr>
      <w:r w:rsidRPr="006B0EEE">
        <w:rPr>
          <w:sz w:val="22"/>
          <w:szCs w:val="22"/>
        </w:rPr>
        <w:t xml:space="preserve"> (b) Протягом трьох попередніх років, здійснити (в якості генпідрядника) ремонт/будівництво принаймні одного об’єкту подібного характеру та рівня складності;</w:t>
      </w:r>
    </w:p>
    <w:p w:rsidR="008A04DE" w:rsidRDefault="008A04DE" w:rsidP="008A04DE">
      <w:pPr>
        <w:spacing w:before="120"/>
        <w:jc w:val="both"/>
        <w:rPr>
          <w:sz w:val="22"/>
          <w:szCs w:val="22"/>
        </w:rPr>
      </w:pPr>
      <w:r w:rsidRPr="006B0EEE">
        <w:rPr>
          <w:sz w:val="22"/>
          <w:szCs w:val="22"/>
        </w:rPr>
        <w:t>(с) Мати фінансові ресурси, необхідні для успішного виконання Робіт</w:t>
      </w:r>
      <w:r w:rsidRPr="006B0EEE">
        <w:rPr>
          <w:rStyle w:val="a9"/>
          <w:sz w:val="22"/>
          <w:szCs w:val="22"/>
        </w:rPr>
        <w:footnoteReference w:customMarkFollows="1" w:id="2"/>
        <w:t>**</w:t>
      </w:r>
      <w:r w:rsidRPr="006B0EEE">
        <w:rPr>
          <w:sz w:val="22"/>
          <w:szCs w:val="22"/>
        </w:rPr>
        <w:t xml:space="preserve">, наявність яких має підтверджуватися </w:t>
      </w:r>
      <w:r>
        <w:rPr>
          <w:sz w:val="22"/>
          <w:szCs w:val="22"/>
        </w:rPr>
        <w:t>довідками від банків, кредитних або інших установ.</w:t>
      </w:r>
    </w:p>
    <w:p w:rsidR="008A04DE" w:rsidRPr="006B0EEE" w:rsidRDefault="008A04DE" w:rsidP="008A04DE">
      <w:pPr>
        <w:spacing w:before="120"/>
        <w:jc w:val="both"/>
        <w:rPr>
          <w:b/>
          <w:sz w:val="22"/>
          <w:szCs w:val="22"/>
        </w:rPr>
      </w:pPr>
      <w:r w:rsidRPr="006B0EEE">
        <w:rPr>
          <w:b/>
          <w:sz w:val="22"/>
          <w:szCs w:val="22"/>
        </w:rPr>
        <w:t xml:space="preserve">4.  Візит на Об’єкт: </w:t>
      </w:r>
      <w:r w:rsidRPr="006B0EEE">
        <w:rPr>
          <w:sz w:val="22"/>
          <w:szCs w:val="22"/>
        </w:rPr>
        <w:t>Підрядник, за власні кошти і на власний розсуд/ризик, має право відвідати та обстежити Об’єкт та прилеглі території, а також отримати будь-яку інформацію, необхідну для підготовки Конкурсної пропозиції та укладання Договору на виконання</w:t>
      </w:r>
      <w:r w:rsidRPr="006B0EEE">
        <w:rPr>
          <w:bCs/>
          <w:sz w:val="22"/>
          <w:szCs w:val="22"/>
        </w:rPr>
        <w:t xml:space="preserve"> ремонтно-будівельних робіт</w:t>
      </w:r>
      <w:r w:rsidRPr="006B0EEE">
        <w:rPr>
          <w:sz w:val="22"/>
          <w:szCs w:val="22"/>
        </w:rPr>
        <w:t>.</w:t>
      </w:r>
      <w:r w:rsidRPr="006B0EEE">
        <w:rPr>
          <w:b/>
          <w:sz w:val="22"/>
          <w:szCs w:val="22"/>
        </w:rPr>
        <w:t xml:space="preserve">  </w:t>
      </w:r>
    </w:p>
    <w:p w:rsidR="008A04DE" w:rsidRPr="006B0EEE" w:rsidRDefault="008A04DE" w:rsidP="008A04DE">
      <w:pPr>
        <w:spacing w:before="120"/>
        <w:jc w:val="both"/>
        <w:rPr>
          <w:b/>
          <w:sz w:val="22"/>
          <w:szCs w:val="22"/>
        </w:rPr>
      </w:pPr>
      <w:r w:rsidRPr="006B0EEE">
        <w:rPr>
          <w:b/>
          <w:sz w:val="22"/>
          <w:szCs w:val="22"/>
        </w:rPr>
        <w:t>5.  Документи, що становлять Тендерну Документацію:</w:t>
      </w:r>
    </w:p>
    <w:p w:rsidR="008A04DE" w:rsidRPr="006B0EEE" w:rsidRDefault="008A04DE" w:rsidP="008A04DE">
      <w:pPr>
        <w:spacing w:before="120"/>
        <w:jc w:val="both"/>
        <w:rPr>
          <w:sz w:val="22"/>
          <w:szCs w:val="22"/>
        </w:rPr>
      </w:pPr>
      <w:r w:rsidRPr="006B0EEE">
        <w:rPr>
          <w:sz w:val="22"/>
          <w:szCs w:val="22"/>
        </w:rPr>
        <w:t>Розділ 1. Інструкції Учасникам Конкурсу</w:t>
      </w:r>
    </w:p>
    <w:p w:rsidR="008A04DE" w:rsidRPr="006B0EEE" w:rsidRDefault="008A04DE" w:rsidP="008A04DE">
      <w:pPr>
        <w:spacing w:before="120"/>
        <w:jc w:val="both"/>
        <w:rPr>
          <w:sz w:val="22"/>
          <w:szCs w:val="22"/>
        </w:rPr>
      </w:pPr>
      <w:r w:rsidRPr="006B0EEE">
        <w:rPr>
          <w:sz w:val="22"/>
          <w:szCs w:val="22"/>
        </w:rPr>
        <w:t xml:space="preserve">Розділ 2. Робочі креслення (знаходяться в ОГ ) </w:t>
      </w:r>
    </w:p>
    <w:p w:rsidR="008A04DE" w:rsidRPr="006B0EEE" w:rsidRDefault="008A04DE" w:rsidP="008A04DE">
      <w:pPr>
        <w:spacing w:before="120"/>
        <w:jc w:val="both"/>
        <w:rPr>
          <w:sz w:val="22"/>
          <w:szCs w:val="22"/>
        </w:rPr>
      </w:pPr>
      <w:r w:rsidRPr="006B0EEE">
        <w:rPr>
          <w:sz w:val="22"/>
          <w:szCs w:val="22"/>
        </w:rPr>
        <w:t>Розділ 3. Короткі відомості про об’єкт та типові умови впровадження</w:t>
      </w:r>
    </w:p>
    <w:p w:rsidR="008A04DE" w:rsidRPr="006B0EEE" w:rsidRDefault="008A04DE" w:rsidP="008A04DE">
      <w:pPr>
        <w:spacing w:before="120"/>
        <w:jc w:val="both"/>
      </w:pPr>
      <w:r w:rsidRPr="006B0EEE">
        <w:rPr>
          <w:sz w:val="22"/>
          <w:szCs w:val="22"/>
        </w:rPr>
        <w:t>Розділ 4. Специфікації</w:t>
      </w:r>
      <w:r w:rsidRPr="006B0EEE">
        <w:rPr>
          <w:b/>
        </w:rPr>
        <w:t xml:space="preserve"> </w:t>
      </w:r>
      <w:r w:rsidRPr="006B0EEE">
        <w:t xml:space="preserve">основних матеріалів, виробів та обладнання, необхідних для виконання ремонтно-будівельних робіт </w:t>
      </w:r>
    </w:p>
    <w:p w:rsidR="008A04DE" w:rsidRPr="006B0EEE" w:rsidRDefault="008A04DE" w:rsidP="008A04DE">
      <w:pPr>
        <w:spacing w:before="120"/>
        <w:jc w:val="both"/>
        <w:rPr>
          <w:sz w:val="22"/>
          <w:szCs w:val="22"/>
        </w:rPr>
      </w:pPr>
      <w:r w:rsidRPr="006B0EEE">
        <w:rPr>
          <w:sz w:val="22"/>
          <w:szCs w:val="22"/>
        </w:rPr>
        <w:t>Розділ 5. Відомість робіт, основних матеріалів та спеціалізованого обладнання</w:t>
      </w:r>
    </w:p>
    <w:p w:rsidR="008A04DE" w:rsidRPr="006B0EEE" w:rsidRDefault="008A04DE" w:rsidP="008A04DE">
      <w:pPr>
        <w:spacing w:before="120"/>
        <w:jc w:val="both"/>
        <w:rPr>
          <w:sz w:val="22"/>
          <w:szCs w:val="22"/>
        </w:rPr>
      </w:pPr>
      <w:r w:rsidRPr="006B0EEE">
        <w:rPr>
          <w:sz w:val="22"/>
          <w:szCs w:val="22"/>
        </w:rPr>
        <w:t>Розділ 6. Проформа Цінової пропозиції</w:t>
      </w:r>
    </w:p>
    <w:p w:rsidR="008A04DE" w:rsidRPr="006B0EEE" w:rsidRDefault="008A04DE" w:rsidP="008A04DE">
      <w:pPr>
        <w:numPr>
          <w:ilvl w:val="0"/>
          <w:numId w:val="4"/>
        </w:numPr>
        <w:spacing w:before="120"/>
        <w:ind w:left="0" w:firstLine="0"/>
        <w:jc w:val="both"/>
        <w:rPr>
          <w:sz w:val="22"/>
          <w:szCs w:val="22"/>
        </w:rPr>
      </w:pPr>
      <w:r w:rsidRPr="006B0EEE">
        <w:rPr>
          <w:b/>
          <w:sz w:val="22"/>
          <w:szCs w:val="22"/>
        </w:rPr>
        <w:t>Документи, що складають пропозицію</w:t>
      </w:r>
      <w:r w:rsidRPr="006B0EEE">
        <w:rPr>
          <w:rStyle w:val="a9"/>
          <w:sz w:val="22"/>
          <w:szCs w:val="22"/>
        </w:rPr>
        <w:footnoteReference w:id="3"/>
      </w:r>
      <w:r w:rsidRPr="006B0EEE">
        <w:rPr>
          <w:b/>
          <w:sz w:val="22"/>
          <w:szCs w:val="22"/>
        </w:rPr>
        <w:t>:</w:t>
      </w:r>
      <w:r w:rsidRPr="006B0EEE">
        <w:rPr>
          <w:sz w:val="22"/>
          <w:szCs w:val="22"/>
        </w:rPr>
        <w:t xml:space="preserve"> Конкурсна пропозиція Підрядника складається з наступних документів:</w:t>
      </w:r>
    </w:p>
    <w:p w:rsidR="008A04DE" w:rsidRPr="006B0EEE" w:rsidRDefault="008A04DE" w:rsidP="008A04DE">
      <w:pPr>
        <w:spacing w:before="120"/>
        <w:jc w:val="both"/>
        <w:rPr>
          <w:sz w:val="22"/>
          <w:szCs w:val="22"/>
        </w:rPr>
      </w:pPr>
      <w:r w:rsidRPr="006B0EEE">
        <w:rPr>
          <w:sz w:val="22"/>
          <w:szCs w:val="22"/>
        </w:rPr>
        <w:t>Документ 1.</w:t>
      </w:r>
      <w:r w:rsidRPr="006B0EEE">
        <w:rPr>
          <w:sz w:val="22"/>
          <w:szCs w:val="22"/>
        </w:rPr>
        <w:tab/>
        <w:t>Проформа Цінової пропозиції</w:t>
      </w:r>
      <w:r w:rsidRPr="006B0EEE">
        <w:rPr>
          <w:rStyle w:val="a9"/>
          <w:sz w:val="22"/>
          <w:szCs w:val="22"/>
        </w:rPr>
        <w:footnoteReference w:id="4"/>
      </w:r>
      <w:r w:rsidRPr="006B0EEE">
        <w:rPr>
          <w:sz w:val="22"/>
          <w:szCs w:val="22"/>
        </w:rPr>
        <w:t>;</w:t>
      </w:r>
    </w:p>
    <w:p w:rsidR="008A04DE" w:rsidRPr="006B0EEE" w:rsidRDefault="008A04DE" w:rsidP="008A04DE">
      <w:pPr>
        <w:spacing w:before="120"/>
        <w:jc w:val="both"/>
        <w:rPr>
          <w:sz w:val="22"/>
          <w:szCs w:val="22"/>
        </w:rPr>
      </w:pPr>
      <w:r w:rsidRPr="006B0EEE">
        <w:rPr>
          <w:sz w:val="22"/>
          <w:szCs w:val="22"/>
        </w:rPr>
        <w:t>Документ 2.</w:t>
      </w:r>
      <w:r w:rsidRPr="006B0EEE">
        <w:rPr>
          <w:sz w:val="22"/>
          <w:szCs w:val="22"/>
        </w:rPr>
        <w:tab/>
        <w:t>Відомість Робіт, основних матеріалів і спеціалізованого обладнання (чи кошторисний розрахунок);</w:t>
      </w:r>
    </w:p>
    <w:p w:rsidR="008A04DE" w:rsidRPr="006B0EEE" w:rsidRDefault="008A04DE" w:rsidP="008A04DE">
      <w:pPr>
        <w:spacing w:before="120"/>
        <w:ind w:left="720" w:hanging="720"/>
        <w:jc w:val="both"/>
        <w:rPr>
          <w:sz w:val="22"/>
          <w:szCs w:val="22"/>
        </w:rPr>
      </w:pPr>
      <w:r w:rsidRPr="006B0EEE">
        <w:rPr>
          <w:sz w:val="22"/>
          <w:szCs w:val="22"/>
        </w:rPr>
        <w:lastRenderedPageBreak/>
        <w:t>Документ 3.</w:t>
      </w:r>
      <w:r w:rsidRPr="006B0EEE">
        <w:rPr>
          <w:sz w:val="22"/>
          <w:szCs w:val="22"/>
        </w:rPr>
        <w:tab/>
        <w:t>Інформація щодо досвіду роботи та кваліфікації (відповідно до пункту 3 (b) цих Інструкцій учасникам Конкурсу);</w:t>
      </w:r>
    </w:p>
    <w:p w:rsidR="008A04DE" w:rsidRPr="006B0EEE" w:rsidRDefault="008A04DE" w:rsidP="008A04DE">
      <w:pPr>
        <w:spacing w:before="120"/>
        <w:ind w:left="720" w:hanging="720"/>
        <w:jc w:val="both"/>
        <w:rPr>
          <w:sz w:val="22"/>
          <w:szCs w:val="22"/>
        </w:rPr>
      </w:pPr>
      <w:r w:rsidRPr="006B0EEE">
        <w:rPr>
          <w:sz w:val="22"/>
          <w:szCs w:val="22"/>
        </w:rPr>
        <w:t>Документ 4.</w:t>
      </w:r>
      <w:r w:rsidRPr="006B0EEE">
        <w:rPr>
          <w:sz w:val="22"/>
          <w:szCs w:val="22"/>
        </w:rPr>
        <w:tab/>
        <w:t>Завірена печаткою підрядника копія ліцензії на виконання відповідних ремонтно-будівельних робіт (відповідно до пункту 3 (а) цих Інструкцій учасникам Конкурсу);</w:t>
      </w:r>
    </w:p>
    <w:p w:rsidR="008A04DE" w:rsidRPr="006B0EEE" w:rsidRDefault="008A04DE" w:rsidP="008A04DE">
      <w:pPr>
        <w:spacing w:before="120"/>
        <w:jc w:val="both"/>
        <w:rPr>
          <w:sz w:val="22"/>
          <w:szCs w:val="22"/>
        </w:rPr>
      </w:pPr>
      <w:r w:rsidRPr="006B0EEE">
        <w:rPr>
          <w:sz w:val="22"/>
          <w:szCs w:val="22"/>
        </w:rPr>
        <w:t>Документ 5.</w:t>
      </w:r>
      <w:r w:rsidRPr="006B0EEE">
        <w:rPr>
          <w:sz w:val="22"/>
          <w:szCs w:val="22"/>
        </w:rPr>
        <w:tab/>
        <w:t>Інформація про наявність фінансових ресурсів, зазначена у пункті 3, підпункті “с”.</w:t>
      </w:r>
    </w:p>
    <w:p w:rsidR="008A04DE" w:rsidRPr="006B0EEE" w:rsidRDefault="008A04DE" w:rsidP="008A04DE">
      <w:pPr>
        <w:spacing w:before="120"/>
        <w:jc w:val="both"/>
        <w:rPr>
          <w:sz w:val="22"/>
          <w:szCs w:val="22"/>
        </w:rPr>
      </w:pPr>
      <w:r w:rsidRPr="006B0EEE">
        <w:rPr>
          <w:sz w:val="22"/>
          <w:szCs w:val="22"/>
        </w:rPr>
        <w:t>Документ 6.   Специфікація</w:t>
      </w:r>
      <w:r w:rsidRPr="006B0EEE">
        <w:rPr>
          <w:b/>
          <w:sz w:val="22"/>
          <w:szCs w:val="22"/>
        </w:rPr>
        <w:t xml:space="preserve"> </w:t>
      </w:r>
      <w:r w:rsidRPr="006B0EEE">
        <w:rPr>
          <w:sz w:val="22"/>
          <w:szCs w:val="22"/>
        </w:rPr>
        <w:t>основних матеріалів, виробів та обладнання, необхідних для виконання ремонтно-будівельних робіт (за необхідності )</w:t>
      </w:r>
    </w:p>
    <w:p w:rsidR="008A04DE" w:rsidRPr="006B0EEE" w:rsidRDefault="008A04DE" w:rsidP="008A04DE">
      <w:pPr>
        <w:spacing w:before="120"/>
        <w:jc w:val="both"/>
        <w:rPr>
          <w:sz w:val="22"/>
          <w:szCs w:val="22"/>
        </w:rPr>
      </w:pPr>
      <w:r w:rsidRPr="006B0EEE">
        <w:rPr>
          <w:sz w:val="22"/>
          <w:szCs w:val="22"/>
        </w:rPr>
        <w:t>Замовник має право відхилити Конкурсну пропозицію, що не включає усіх перелічених вище документів, які задовольняють вимогам, зазначеним у цих Інструкціях учасникам конкурсу.</w:t>
      </w:r>
    </w:p>
    <w:p w:rsidR="008A04DE" w:rsidRPr="006B0EEE" w:rsidRDefault="008A04DE" w:rsidP="008A04DE">
      <w:pPr>
        <w:numPr>
          <w:ilvl w:val="0"/>
          <w:numId w:val="5"/>
        </w:numPr>
        <w:spacing w:before="120"/>
        <w:ind w:left="0" w:firstLine="0"/>
        <w:jc w:val="both"/>
        <w:rPr>
          <w:sz w:val="22"/>
          <w:szCs w:val="22"/>
        </w:rPr>
      </w:pPr>
      <w:r w:rsidRPr="006B0EEE">
        <w:rPr>
          <w:b/>
          <w:sz w:val="22"/>
          <w:szCs w:val="22"/>
        </w:rPr>
        <w:t xml:space="preserve">Цінова пропозиція: </w:t>
      </w:r>
      <w:r w:rsidRPr="006B0EEE">
        <w:rPr>
          <w:bCs/>
          <w:sz w:val="22"/>
          <w:szCs w:val="22"/>
        </w:rPr>
        <w:t>Договір</w:t>
      </w:r>
      <w:r w:rsidRPr="006B0EEE">
        <w:rPr>
          <w:sz w:val="22"/>
          <w:szCs w:val="22"/>
        </w:rPr>
        <w:t xml:space="preserve"> укладається на весь комплекс Робіт, зазначених у Пункті 1 Запрошення до участі у конкурсі (Об’яви). Суму Договору повинні визначати по-позиційні та загальні ціни, наведені у Відомості Робіт, основних матеріалів та спеціалізованого обладнання.  Усі ціни мають бути наведені у валюті України. Підрядник має навести ціни/розцінки усіх компонентів Робіт, зазначених у Кресленнях, Специфікаціях та Відомості Робіт, основних матеріалів та спеціалізованого обладнання. Усі податки, акцизи та інші збори, що мають бути сплачені Підрядником, повинні бути включені до цін/розцінок та загальної суми, зазначених у Ціновій пропозиції Підрядника.  Ціни/розцінки, наведені Підрядником не повинні змінюватися будь-яким чином впродовж терміну чинності Договору підряду (що буде заключний з переможцем конкурсу) за будь-яких умов. </w:t>
      </w:r>
    </w:p>
    <w:p w:rsidR="008A04DE" w:rsidRPr="006B0EEE" w:rsidRDefault="008A04DE" w:rsidP="008A04DE">
      <w:pPr>
        <w:numPr>
          <w:ilvl w:val="0"/>
          <w:numId w:val="8"/>
        </w:numPr>
        <w:spacing w:before="120"/>
        <w:ind w:left="0" w:firstLine="0"/>
        <w:jc w:val="both"/>
        <w:rPr>
          <w:sz w:val="22"/>
          <w:szCs w:val="22"/>
        </w:rPr>
      </w:pPr>
      <w:r w:rsidRPr="006B0EEE">
        <w:rPr>
          <w:b/>
          <w:sz w:val="22"/>
          <w:szCs w:val="22"/>
        </w:rPr>
        <w:t>Чинність пропозицій:</w:t>
      </w:r>
      <w:r w:rsidRPr="006B0EEE">
        <w:rPr>
          <w:sz w:val="22"/>
          <w:szCs w:val="22"/>
        </w:rPr>
        <w:t xml:space="preserve"> Конкурсні пропозиції повинні залишатися чинними впродовж шістдесяти (60) календарних днів з граничного терміну подання Конкурсних пропозицій, зазначеного у нижченаведеному Пункті 11.  Замовник може запропонувати Підряднику подовжити термін чинності Конкурсної пропозиції на визначений термін.  Пропозиція ОГ та відповідь Підрядника мають бути письмовими, або надіслані факсом чи телеграфом. </w:t>
      </w:r>
    </w:p>
    <w:p w:rsidR="008A04DE" w:rsidRPr="006B0EEE" w:rsidRDefault="008A04DE" w:rsidP="008A04DE">
      <w:pPr>
        <w:numPr>
          <w:ilvl w:val="0"/>
          <w:numId w:val="8"/>
        </w:numPr>
        <w:spacing w:before="120"/>
        <w:ind w:left="0" w:firstLine="0"/>
        <w:jc w:val="both"/>
        <w:rPr>
          <w:sz w:val="22"/>
          <w:szCs w:val="22"/>
        </w:rPr>
      </w:pPr>
      <w:r w:rsidRPr="006B0EEE">
        <w:rPr>
          <w:b/>
          <w:sz w:val="22"/>
          <w:szCs w:val="22"/>
        </w:rPr>
        <w:t>Мова Конкурсної пропозиції</w:t>
      </w:r>
      <w:r w:rsidRPr="006B0EEE">
        <w:rPr>
          <w:sz w:val="22"/>
          <w:szCs w:val="22"/>
        </w:rPr>
        <w:t>: Усі документи, що стосуються Конкурсної пропозиції та Договору, мають бути українською мовою.</w:t>
      </w:r>
    </w:p>
    <w:p w:rsidR="008A04DE" w:rsidRPr="006B0EEE" w:rsidRDefault="008A04DE" w:rsidP="008A04DE">
      <w:pPr>
        <w:numPr>
          <w:ilvl w:val="0"/>
          <w:numId w:val="8"/>
        </w:numPr>
        <w:spacing w:before="120"/>
        <w:ind w:left="0" w:firstLine="0"/>
        <w:jc w:val="both"/>
        <w:rPr>
          <w:sz w:val="22"/>
          <w:szCs w:val="22"/>
        </w:rPr>
      </w:pPr>
      <w:r w:rsidRPr="006B0EEE">
        <w:rPr>
          <w:b/>
          <w:sz w:val="22"/>
          <w:szCs w:val="22"/>
        </w:rPr>
        <w:t xml:space="preserve">Порядок підготовки та надання Конкурсних пропозицій: </w:t>
      </w:r>
      <w:r w:rsidRPr="006B0EEE">
        <w:rPr>
          <w:sz w:val="22"/>
          <w:szCs w:val="22"/>
        </w:rPr>
        <w:t xml:space="preserve"> Підрядник повинен підготувати один оригінал документів, що входять до складу Конкурсної пропозиції відповідно до вищенаведеного Пункту 6; пакет повинен бути чітко поміченим як «ОРИГІНАЛ». Крім того, Учасник Конкурсу може надати копію Конкурсної пропозиції, що має бути позначена як «копія» (за наявності розбіжностей між ними, пріоритет надається оригіналу). Оригінал та копія </w:t>
      </w:r>
      <w:r w:rsidRPr="006B0EEE">
        <w:rPr>
          <w:bCs/>
          <w:sz w:val="22"/>
          <w:szCs w:val="22"/>
        </w:rPr>
        <w:t xml:space="preserve">Конкурсної пропозиції мають бути підписані від імені Учасника Конкурсу уповноваженою особою (особами).  Усі сторінки Цінової пропозиції, що містять доповнення та виправлення, повинні бути завізовані особою (особами), що підписали Цінову пропозицію. Учасник Конкурсу має заклеїти оригінал та копію Конкурсної пропозиції у два різні конверти та помітити їх як “оригінал” та “копія”; ці два конверти можуть бути запечатані в один зовнішній конверт.  Конверти повинні бути адресованими ОГ (адреса вказана у Запрошенні до участі у конкурсі – Об’яві) та містити попередження не розкривати конверти до зазначеного часу і дати Розкриття Конкурсних пропозицій, вказаних у пункті 2 Запрошення до участі у конкурсі (Об’яви).  </w:t>
      </w:r>
    </w:p>
    <w:p w:rsidR="008A04DE" w:rsidRPr="006B0EEE" w:rsidRDefault="008A04DE" w:rsidP="008A04DE">
      <w:pPr>
        <w:numPr>
          <w:ilvl w:val="0"/>
          <w:numId w:val="8"/>
        </w:numPr>
        <w:spacing w:before="120"/>
        <w:ind w:left="0" w:firstLine="0"/>
        <w:jc w:val="both"/>
        <w:rPr>
          <w:bCs/>
          <w:sz w:val="22"/>
          <w:szCs w:val="22"/>
        </w:rPr>
      </w:pPr>
      <w:r w:rsidRPr="006B0EEE">
        <w:rPr>
          <w:b/>
          <w:sz w:val="22"/>
          <w:szCs w:val="22"/>
        </w:rPr>
        <w:t xml:space="preserve">Місце та строки надання Конкурсних пропозицій: </w:t>
      </w:r>
      <w:r w:rsidRPr="006B0EEE">
        <w:rPr>
          <w:bCs/>
          <w:sz w:val="22"/>
          <w:szCs w:val="22"/>
        </w:rPr>
        <w:t>Конкурсні пропозиції мають бути доставлені в організацію громади  НЕ ПІЗНІШЕ  часу та дати вказаної в оголошенні за адресою, наведеною у пункті 2 Запрошення до участі у конкурсі (Об’яви). Усі Конкурсні пропозиції, які Замовник отримає після вищезазначеного граничного терміну, НЕ розкриваються (НЕ оприлюднюються) та повертаються Учаснику Конкурсу.</w:t>
      </w:r>
    </w:p>
    <w:p w:rsidR="008A04DE" w:rsidRPr="006B0EEE" w:rsidRDefault="008A04DE" w:rsidP="008A04DE">
      <w:pPr>
        <w:numPr>
          <w:ilvl w:val="0"/>
          <w:numId w:val="8"/>
        </w:numPr>
        <w:spacing w:before="120"/>
        <w:ind w:left="0" w:firstLine="0"/>
        <w:jc w:val="both"/>
        <w:rPr>
          <w:sz w:val="22"/>
          <w:szCs w:val="22"/>
        </w:rPr>
      </w:pPr>
      <w:r w:rsidRPr="006B0EEE">
        <w:rPr>
          <w:b/>
          <w:sz w:val="22"/>
          <w:szCs w:val="22"/>
        </w:rPr>
        <w:t>Внесення змін та відкликання Конкурсної пропозиції:</w:t>
      </w:r>
      <w:r w:rsidRPr="006B0EEE">
        <w:rPr>
          <w:sz w:val="22"/>
          <w:szCs w:val="22"/>
        </w:rPr>
        <w:t xml:space="preserve"> Змінювати Цінові пропозиції не дозволяється.  Відкликання Конкурсної пропозиції дозволяється тільки до початку конкурсу.</w:t>
      </w:r>
    </w:p>
    <w:p w:rsidR="008A04DE" w:rsidRPr="006B0EEE" w:rsidRDefault="008A04DE" w:rsidP="008A04DE">
      <w:pPr>
        <w:numPr>
          <w:ilvl w:val="0"/>
          <w:numId w:val="8"/>
        </w:numPr>
        <w:spacing w:before="120"/>
        <w:ind w:left="0" w:firstLine="0"/>
        <w:jc w:val="both"/>
        <w:rPr>
          <w:sz w:val="22"/>
          <w:szCs w:val="22"/>
        </w:rPr>
      </w:pPr>
      <w:r w:rsidRPr="006B0EEE">
        <w:rPr>
          <w:b/>
          <w:sz w:val="22"/>
          <w:szCs w:val="22"/>
        </w:rPr>
        <w:t>Розкриття Конкурсних пропозицій:</w:t>
      </w:r>
      <w:r w:rsidRPr="006B0EEE">
        <w:rPr>
          <w:sz w:val="22"/>
          <w:szCs w:val="22"/>
        </w:rPr>
        <w:t xml:space="preserve"> ОГ розкриває Конкурсні/Цінові пропозиції у присутності наявних представників зацікавлених Підрядників, у час, день та у місці, що вказані у Пункті 2 Запрошення до участі у конкурсі (Об’яви).  Під час розкриття Конкурсних пропозицій представник тендерного комітету по черзі оголошує назву Учасника Конкурсу, запропоновані ним ціни та загальну суму Цінової пропозиції,  а також - відкликані Конкурсні пропозиції.</w:t>
      </w:r>
    </w:p>
    <w:p w:rsidR="008A04DE" w:rsidRPr="006B0EEE" w:rsidRDefault="008A04DE" w:rsidP="008A04DE">
      <w:pPr>
        <w:numPr>
          <w:ilvl w:val="0"/>
          <w:numId w:val="8"/>
        </w:numPr>
        <w:spacing w:before="120"/>
        <w:ind w:left="0" w:firstLine="0"/>
        <w:jc w:val="both"/>
        <w:rPr>
          <w:sz w:val="22"/>
          <w:szCs w:val="22"/>
        </w:rPr>
      </w:pPr>
      <w:r w:rsidRPr="006B0EEE">
        <w:rPr>
          <w:b/>
          <w:sz w:val="22"/>
          <w:szCs w:val="22"/>
        </w:rPr>
        <w:t xml:space="preserve">Конфіденційність процесу: </w:t>
      </w:r>
      <w:r w:rsidRPr="006B0EEE">
        <w:rPr>
          <w:sz w:val="22"/>
          <w:szCs w:val="22"/>
        </w:rPr>
        <w:t>Інформація щодо вивчення, уточнення, оцінки та порівняння Конкурсних пропозицій, а також попередні висновки щодо переможця Конкурсу НЕ ПІДЛЯГАЮТЬ розголошенню до затвердження результатів загальними зборами ОГ та офіційного оприлюднення переможця Конкурсу.</w:t>
      </w:r>
    </w:p>
    <w:p w:rsidR="008A04DE" w:rsidRPr="006B0EEE" w:rsidRDefault="008A04DE" w:rsidP="008A04DE">
      <w:pPr>
        <w:spacing w:before="120"/>
        <w:jc w:val="both"/>
        <w:rPr>
          <w:sz w:val="22"/>
          <w:szCs w:val="22"/>
        </w:rPr>
      </w:pPr>
      <w:r w:rsidRPr="006B0EEE">
        <w:rPr>
          <w:b/>
          <w:sz w:val="22"/>
          <w:szCs w:val="22"/>
        </w:rPr>
        <w:t>15.  Оцінка та порівняння Конкурсних пропозицій:</w:t>
      </w:r>
      <w:r w:rsidRPr="006B0EEE">
        <w:rPr>
          <w:sz w:val="22"/>
          <w:szCs w:val="22"/>
        </w:rPr>
        <w:t xml:space="preserve"> Договір буде присуджено Підряднику, Конкурсна Пропозиція якого відповідає умовам, викладеним у тендерній документації та який запропонує найнижчу ціну.  Під час оцінки Конкурсних пропозицій, Конкурсна комісія повинна перевірити розрахунки Цінових пропозицій усіх Учасників Конкурсу та виправити їх шляхом виявлення будь-яких арифметичних помилок, як це зазначено нижче:</w:t>
      </w:r>
    </w:p>
    <w:p w:rsidR="008A04DE" w:rsidRPr="006B0EEE" w:rsidRDefault="008A04DE" w:rsidP="008A04DE">
      <w:pPr>
        <w:spacing w:before="120"/>
        <w:jc w:val="both"/>
        <w:rPr>
          <w:sz w:val="22"/>
          <w:szCs w:val="22"/>
        </w:rPr>
      </w:pPr>
      <w:r w:rsidRPr="006B0EEE">
        <w:rPr>
          <w:sz w:val="22"/>
          <w:szCs w:val="22"/>
        </w:rPr>
        <w:t>(a) у разі розбіжностей між сумами, які виражені цифрами та прописом – суми прописом вважатимуться пріоритетними;</w:t>
      </w:r>
    </w:p>
    <w:p w:rsidR="008A04DE" w:rsidRPr="006B0EEE" w:rsidRDefault="008A04DE" w:rsidP="008A04DE">
      <w:pPr>
        <w:spacing w:before="120"/>
        <w:jc w:val="both"/>
        <w:rPr>
          <w:sz w:val="22"/>
          <w:szCs w:val="22"/>
        </w:rPr>
      </w:pPr>
      <w:r w:rsidRPr="006B0EEE">
        <w:rPr>
          <w:sz w:val="22"/>
          <w:szCs w:val="22"/>
        </w:rPr>
        <w:t>(b) у разі розбіжностей між по-позиційними цінами та відповідними по-позиційними сумами, що визначаються шляхом множення по-позиційної ціни на кількість, пріоритетною вважатиметься запропонована по-позиційна ціна;</w:t>
      </w:r>
    </w:p>
    <w:p w:rsidR="008A04DE" w:rsidRPr="006B0EEE" w:rsidRDefault="008A04DE" w:rsidP="008A04DE">
      <w:pPr>
        <w:spacing w:before="120"/>
        <w:jc w:val="both"/>
        <w:rPr>
          <w:sz w:val="22"/>
          <w:szCs w:val="22"/>
        </w:rPr>
      </w:pPr>
      <w:r w:rsidRPr="006B0EEE">
        <w:rPr>
          <w:sz w:val="22"/>
          <w:szCs w:val="22"/>
        </w:rPr>
        <w:t xml:space="preserve">(c) Якщо Учасник Конкурсу відмовиться прийняти такі зміни, його Конкурсну пропозицію буде </w:t>
      </w:r>
      <w:proofErr w:type="spellStart"/>
      <w:r w:rsidRPr="006B0EEE">
        <w:rPr>
          <w:sz w:val="22"/>
          <w:szCs w:val="22"/>
        </w:rPr>
        <w:t>відхилено</w:t>
      </w:r>
      <w:proofErr w:type="spellEnd"/>
      <w:r w:rsidRPr="006B0EEE">
        <w:rPr>
          <w:sz w:val="22"/>
          <w:szCs w:val="22"/>
        </w:rPr>
        <w:t>.</w:t>
      </w:r>
    </w:p>
    <w:p w:rsidR="008A04DE" w:rsidRPr="006B0EEE" w:rsidRDefault="008A04DE" w:rsidP="008A04DE">
      <w:pPr>
        <w:numPr>
          <w:ilvl w:val="0"/>
          <w:numId w:val="6"/>
        </w:numPr>
        <w:spacing w:before="120"/>
        <w:ind w:left="0" w:firstLine="0"/>
        <w:jc w:val="both"/>
        <w:rPr>
          <w:sz w:val="22"/>
          <w:szCs w:val="22"/>
        </w:rPr>
      </w:pPr>
      <w:r w:rsidRPr="006B0EEE">
        <w:rPr>
          <w:b/>
          <w:sz w:val="22"/>
          <w:szCs w:val="22"/>
        </w:rPr>
        <w:t>Право Конкурсної комісії акцептувати будь-яку Конкурсну пропозицію та відхилити будь-яку чи усі Конкурсні пропозиції:</w:t>
      </w:r>
      <w:r w:rsidRPr="006B0EEE">
        <w:rPr>
          <w:sz w:val="22"/>
          <w:szCs w:val="22"/>
        </w:rPr>
        <w:t xml:space="preserve"> Конкурсна комісія має право акцептувати чи аргументовано відхилити будь-яку Конкурсну пропозицію, а також при відповідному обґрунтуванні відмінити Конкурс і відхилити усі Конкурсні пропозиції у будь-який час до присудження Договору; при цьому, Конкурсна комісія не несе відповідальності перед Учасниками Конкурсу та не зобов’язана інформувати Учасників Конкурсу щодо причин такого рішення.</w:t>
      </w:r>
    </w:p>
    <w:p w:rsidR="008A04DE" w:rsidRPr="006B0EEE" w:rsidRDefault="008A04DE" w:rsidP="008A04DE">
      <w:pPr>
        <w:numPr>
          <w:ilvl w:val="0"/>
          <w:numId w:val="9"/>
        </w:numPr>
        <w:spacing w:before="120"/>
        <w:ind w:left="0" w:firstLine="0"/>
        <w:jc w:val="both"/>
        <w:rPr>
          <w:sz w:val="22"/>
          <w:szCs w:val="22"/>
        </w:rPr>
      </w:pPr>
      <w:r w:rsidRPr="006B0EEE">
        <w:rPr>
          <w:b/>
          <w:bCs/>
          <w:sz w:val="22"/>
          <w:szCs w:val="22"/>
        </w:rPr>
        <w:t>У</w:t>
      </w:r>
      <w:r w:rsidRPr="006B0EEE">
        <w:rPr>
          <w:b/>
          <w:sz w:val="22"/>
          <w:szCs w:val="22"/>
        </w:rPr>
        <w:t xml:space="preserve">кладання Договору та оприлюднення переможця Конкурсу: </w:t>
      </w:r>
      <w:r w:rsidRPr="006B0EEE">
        <w:rPr>
          <w:sz w:val="22"/>
          <w:szCs w:val="22"/>
        </w:rPr>
        <w:t>Переможця буде письмово повідомлено про перемогу у Конкурсі до завершення Терміну чинності його Конкурсної пропозиції.  Повідомлення повинно містити Суму Договору (надалі та у Договорі – “Сума Договору”), яка буде сплачена Підряднику за виконання, завершення та обслуговування Робіт, обумовлених у Договорі.  Письмове повідомлення про перемогу у Конкурсі підтверджує факт укладення угоди.</w:t>
      </w:r>
    </w:p>
    <w:p w:rsidR="008A04DE" w:rsidRPr="005C6ABF" w:rsidRDefault="008A04DE" w:rsidP="008A04DE">
      <w:pPr>
        <w:numPr>
          <w:ilvl w:val="0"/>
          <w:numId w:val="9"/>
        </w:numPr>
        <w:spacing w:before="120"/>
        <w:ind w:left="0" w:firstLine="0"/>
        <w:jc w:val="both"/>
        <w:rPr>
          <w:b/>
          <w:u w:val="single"/>
        </w:rPr>
      </w:pPr>
      <w:r w:rsidRPr="006B0EEE">
        <w:rPr>
          <w:b/>
          <w:sz w:val="22"/>
          <w:szCs w:val="22"/>
        </w:rPr>
        <w:t xml:space="preserve">Передоплата: </w:t>
      </w:r>
      <w:r w:rsidRPr="006B0EEE">
        <w:rPr>
          <w:sz w:val="22"/>
          <w:szCs w:val="22"/>
        </w:rPr>
        <w:t xml:space="preserve">На прохання Підрядника, Замовник може розглянути питання щодо здійснення передоплати за Договором, але вона має становити не більше </w:t>
      </w:r>
      <w:r>
        <w:rPr>
          <w:sz w:val="22"/>
          <w:szCs w:val="22"/>
        </w:rPr>
        <w:t>30</w:t>
      </w:r>
      <w:r w:rsidRPr="006B0EEE">
        <w:rPr>
          <w:sz w:val="22"/>
          <w:szCs w:val="22"/>
        </w:rPr>
        <w:t xml:space="preserve"> % від вартості робіт по Договору підряду.</w:t>
      </w:r>
    </w:p>
    <w:p w:rsidR="005C6ABF" w:rsidRDefault="005C6ABF" w:rsidP="005C6ABF">
      <w:pPr>
        <w:spacing w:before="120"/>
        <w:jc w:val="both"/>
        <w:rPr>
          <w:b/>
          <w:u w:val="single"/>
        </w:rPr>
      </w:pPr>
    </w:p>
    <w:p w:rsidR="005C6ABF" w:rsidRDefault="005C6ABF" w:rsidP="005C6ABF">
      <w:pPr>
        <w:spacing w:before="120"/>
        <w:jc w:val="both"/>
        <w:rPr>
          <w:b/>
          <w:u w:val="single"/>
        </w:rPr>
      </w:pPr>
    </w:p>
    <w:p w:rsidR="005C6ABF" w:rsidRPr="006B0EEE" w:rsidRDefault="005C6ABF" w:rsidP="005C6ABF">
      <w:pPr>
        <w:spacing w:before="120"/>
        <w:jc w:val="both"/>
        <w:rPr>
          <w:b/>
          <w:u w:val="single"/>
        </w:rPr>
      </w:pPr>
    </w:p>
    <w:p w:rsidR="008A04DE" w:rsidRDefault="008A04DE" w:rsidP="008A04DE">
      <w:pPr>
        <w:spacing w:before="120"/>
        <w:jc w:val="both"/>
        <w:rPr>
          <w:b/>
          <w:sz w:val="22"/>
          <w:szCs w:val="22"/>
        </w:rPr>
      </w:pPr>
      <w:r w:rsidRPr="006B0EEE">
        <w:rPr>
          <w:b/>
          <w:sz w:val="22"/>
          <w:szCs w:val="22"/>
        </w:rPr>
        <w:t xml:space="preserve">Розділ </w:t>
      </w:r>
      <w:r>
        <w:rPr>
          <w:b/>
          <w:sz w:val="22"/>
          <w:szCs w:val="22"/>
        </w:rPr>
        <w:t>2</w:t>
      </w:r>
      <w:r w:rsidRPr="006B0EEE">
        <w:rPr>
          <w:b/>
          <w:sz w:val="22"/>
          <w:szCs w:val="22"/>
        </w:rPr>
        <w:t>. КОРОТКІ ВІДОМОСТІ ПРО ОБ’ЄКТ ТА ТИПОВІ УМОВИ ВПРОВАДЖЕННЯ</w:t>
      </w:r>
    </w:p>
    <w:p w:rsidR="00B821A5" w:rsidRDefault="008A04DE" w:rsidP="008A04DE">
      <w:pPr>
        <w:spacing w:before="120"/>
        <w:jc w:val="both"/>
        <w:rPr>
          <w:sz w:val="22"/>
          <w:szCs w:val="22"/>
        </w:rPr>
      </w:pPr>
      <w:r w:rsidRPr="006B0EEE">
        <w:rPr>
          <w:b/>
          <w:sz w:val="22"/>
          <w:szCs w:val="22"/>
        </w:rPr>
        <w:t>Об’єкт</w:t>
      </w:r>
      <w:r>
        <w:rPr>
          <w:b/>
          <w:sz w:val="22"/>
          <w:szCs w:val="22"/>
        </w:rPr>
        <w:t xml:space="preserve"> 1</w:t>
      </w:r>
      <w:r w:rsidRPr="006B0EEE">
        <w:rPr>
          <w:b/>
          <w:sz w:val="22"/>
          <w:szCs w:val="22"/>
        </w:rPr>
        <w:t xml:space="preserve"> </w:t>
      </w:r>
      <w:r w:rsidRPr="006B0EEE">
        <w:rPr>
          <w:bCs/>
          <w:sz w:val="22"/>
          <w:szCs w:val="22"/>
        </w:rPr>
        <w:t xml:space="preserve">-  </w:t>
      </w:r>
      <w:r w:rsidRPr="00F476E1">
        <w:t>Новоборівський будинок культури</w:t>
      </w:r>
      <w:r>
        <w:t xml:space="preserve">, що знаходиться за адресою: Житомирська обл., Хорошівський р-н, смт. Нова Борова, </w:t>
      </w:r>
      <w:r w:rsidRPr="00F476E1">
        <w:t xml:space="preserve"> вул. Незалежності, 11</w:t>
      </w:r>
      <w:r w:rsidRPr="006B0EEE">
        <w:rPr>
          <w:bCs/>
          <w:sz w:val="22"/>
          <w:szCs w:val="22"/>
        </w:rPr>
        <w:t>.</w:t>
      </w:r>
      <w:r w:rsidRPr="006B0EEE">
        <w:rPr>
          <w:sz w:val="22"/>
          <w:szCs w:val="22"/>
        </w:rPr>
        <w:t xml:space="preserve">  </w:t>
      </w:r>
    </w:p>
    <w:p w:rsidR="008A04DE" w:rsidRDefault="008A04DE" w:rsidP="008A04DE">
      <w:pPr>
        <w:spacing w:before="120"/>
        <w:jc w:val="both"/>
        <w:rPr>
          <w:sz w:val="22"/>
          <w:szCs w:val="22"/>
        </w:rPr>
      </w:pPr>
      <w:r w:rsidRPr="006B0EEE">
        <w:rPr>
          <w:sz w:val="22"/>
          <w:szCs w:val="22"/>
        </w:rPr>
        <w:t>Коротка характеристика об’єкту:</w:t>
      </w:r>
    </w:p>
    <w:p w:rsidR="00184F2B" w:rsidRPr="005C6ABF" w:rsidRDefault="00184F2B" w:rsidP="008A04DE">
      <w:pPr>
        <w:spacing w:before="120"/>
        <w:jc w:val="both"/>
      </w:pPr>
      <w:proofErr w:type="spellStart"/>
      <w:r w:rsidRPr="00B821A5">
        <w:t>одностворчатих</w:t>
      </w:r>
      <w:proofErr w:type="spellEnd"/>
      <w:r w:rsidRPr="00B821A5">
        <w:t xml:space="preserve"> вхідних дверей </w:t>
      </w:r>
      <w:r w:rsidR="00B821A5" w:rsidRPr="00B821A5">
        <w:t xml:space="preserve">(металеві) </w:t>
      </w:r>
      <w:r w:rsidR="005C6ABF">
        <w:t xml:space="preserve">– </w:t>
      </w:r>
      <w:r w:rsidR="005C6ABF">
        <w:rPr>
          <w:lang w:val="en-US"/>
        </w:rPr>
        <w:t>H</w:t>
      </w:r>
      <w:r w:rsidR="005C6ABF" w:rsidRPr="005C6ABF">
        <w:rPr>
          <w:lang w:val="ru-RU"/>
        </w:rPr>
        <w:t>=2360</w:t>
      </w:r>
      <w:r w:rsidR="005C6ABF">
        <w:t xml:space="preserve"> мм, В=960 мм;</w:t>
      </w:r>
    </w:p>
    <w:p w:rsidR="00B821A5" w:rsidRDefault="008A04DE" w:rsidP="008A04DE">
      <w:pPr>
        <w:spacing w:before="120"/>
        <w:jc w:val="both"/>
      </w:pPr>
      <w:r w:rsidRPr="00B821A5">
        <w:rPr>
          <w:b/>
        </w:rPr>
        <w:t>Об’єкт 2-</w:t>
      </w:r>
      <w:r w:rsidRPr="00B821A5">
        <w:t xml:space="preserve"> Новоборівська селищна бібліотека: Житомирська обл., Хорошівський р-н, смт. Нова Борова, вул. Освіти, 7а. </w:t>
      </w:r>
    </w:p>
    <w:p w:rsidR="008A04DE" w:rsidRPr="00B821A5" w:rsidRDefault="008A04DE" w:rsidP="008A04DE">
      <w:pPr>
        <w:spacing w:before="120"/>
        <w:jc w:val="both"/>
      </w:pPr>
      <w:r w:rsidRPr="00B821A5">
        <w:t>Коротка характеристика об’єкту:</w:t>
      </w:r>
    </w:p>
    <w:p w:rsidR="007D32FF" w:rsidRPr="00B821A5" w:rsidRDefault="007D32FF" w:rsidP="007D32FF">
      <w:pPr>
        <w:spacing w:before="120"/>
        <w:jc w:val="both"/>
      </w:pPr>
      <w:proofErr w:type="spellStart"/>
      <w:r w:rsidRPr="00B821A5">
        <w:t>двостворчаті</w:t>
      </w:r>
      <w:proofErr w:type="spellEnd"/>
      <w:r w:rsidRPr="00B821A5">
        <w:t xml:space="preserve"> вхідні двері</w:t>
      </w:r>
      <w:r w:rsidR="00184F2B" w:rsidRPr="00B821A5">
        <w:t xml:space="preserve"> (металеві)</w:t>
      </w:r>
      <w:r w:rsidRPr="00B821A5">
        <w:t xml:space="preserve"> –</w:t>
      </w:r>
      <w:r w:rsidR="005C6ABF" w:rsidRPr="005C6ABF">
        <w:rPr>
          <w:lang w:val="ru-RU"/>
        </w:rPr>
        <w:t xml:space="preserve"> </w:t>
      </w:r>
      <w:r w:rsidR="005C6ABF">
        <w:rPr>
          <w:lang w:val="en-US"/>
        </w:rPr>
        <w:t>H</w:t>
      </w:r>
      <w:r w:rsidR="005C6ABF" w:rsidRPr="005C6ABF">
        <w:rPr>
          <w:lang w:val="ru-RU"/>
        </w:rPr>
        <w:t>=</w:t>
      </w:r>
      <w:r w:rsidR="005C6ABF">
        <w:rPr>
          <w:lang w:val="ru-RU"/>
        </w:rPr>
        <w:t>2110</w:t>
      </w:r>
      <w:r w:rsidR="005C6ABF">
        <w:t xml:space="preserve"> мм, В=1430 мм;</w:t>
      </w:r>
    </w:p>
    <w:p w:rsidR="007D32FF" w:rsidRPr="00B821A5" w:rsidRDefault="007D32FF" w:rsidP="008A04DE">
      <w:pPr>
        <w:spacing w:before="120"/>
        <w:jc w:val="both"/>
      </w:pPr>
      <w:proofErr w:type="spellStart"/>
      <w:r w:rsidRPr="00B821A5">
        <w:t>двостворчаті</w:t>
      </w:r>
      <w:proofErr w:type="spellEnd"/>
      <w:r w:rsidRPr="00B821A5">
        <w:t xml:space="preserve"> міжкімнатні двері</w:t>
      </w:r>
      <w:r w:rsidR="00184F2B" w:rsidRPr="00B821A5">
        <w:t xml:space="preserve"> (металеві)</w:t>
      </w:r>
      <w:r w:rsidRPr="00B821A5">
        <w:t xml:space="preserve"> -</w:t>
      </w:r>
      <w:r w:rsidR="005C6ABF" w:rsidRPr="005C6ABF">
        <w:rPr>
          <w:lang w:val="ru-RU"/>
        </w:rPr>
        <w:t xml:space="preserve"> </w:t>
      </w:r>
      <w:r w:rsidR="005C6ABF">
        <w:rPr>
          <w:lang w:val="en-US"/>
        </w:rPr>
        <w:t>H</w:t>
      </w:r>
      <w:r w:rsidR="005C6ABF" w:rsidRPr="005C6ABF">
        <w:rPr>
          <w:lang w:val="ru-RU"/>
        </w:rPr>
        <w:t>=2</w:t>
      </w:r>
      <w:r w:rsidR="005C6ABF">
        <w:rPr>
          <w:lang w:val="ru-RU"/>
        </w:rPr>
        <w:t>070</w:t>
      </w:r>
      <w:r w:rsidR="005C6ABF">
        <w:t xml:space="preserve"> мм, В=1400 мм;</w:t>
      </w:r>
    </w:p>
    <w:p w:rsidR="00B821A5" w:rsidRDefault="008A04DE" w:rsidP="008A04DE">
      <w:pPr>
        <w:spacing w:before="120"/>
        <w:jc w:val="both"/>
      </w:pPr>
      <w:r w:rsidRPr="00B821A5">
        <w:rPr>
          <w:b/>
        </w:rPr>
        <w:t>Об’єкт 3</w:t>
      </w:r>
      <w:r w:rsidRPr="00B821A5">
        <w:t xml:space="preserve">- Кропивнянська сільська бібліотека: Житомирська обл., Хорошівський р-н, с. Кропивня, вул. Рад, 35. </w:t>
      </w:r>
    </w:p>
    <w:p w:rsidR="008A04DE" w:rsidRPr="00B821A5" w:rsidRDefault="008A04DE" w:rsidP="008A04DE">
      <w:pPr>
        <w:spacing w:before="120"/>
        <w:jc w:val="both"/>
      </w:pPr>
      <w:r w:rsidRPr="00B821A5">
        <w:t>Коротка характеристика об’єкту:</w:t>
      </w:r>
    </w:p>
    <w:p w:rsidR="00184F2B" w:rsidRPr="00B821A5" w:rsidRDefault="00184F2B" w:rsidP="008A04DE">
      <w:pPr>
        <w:spacing w:before="120"/>
        <w:jc w:val="both"/>
      </w:pPr>
      <w:proofErr w:type="spellStart"/>
      <w:r w:rsidRPr="00B821A5">
        <w:t>двостворчаті</w:t>
      </w:r>
      <w:proofErr w:type="spellEnd"/>
      <w:r w:rsidRPr="00B821A5">
        <w:t xml:space="preserve"> міжкімнатні двері (металеві) -</w:t>
      </w:r>
      <w:r w:rsidR="005C6ABF" w:rsidRPr="005C6ABF">
        <w:rPr>
          <w:lang w:val="ru-RU"/>
        </w:rPr>
        <w:t xml:space="preserve"> </w:t>
      </w:r>
      <w:r w:rsidR="005C6ABF">
        <w:rPr>
          <w:lang w:val="en-US"/>
        </w:rPr>
        <w:t>H</w:t>
      </w:r>
      <w:r w:rsidR="005C6ABF" w:rsidRPr="005C6ABF">
        <w:rPr>
          <w:lang w:val="ru-RU"/>
        </w:rPr>
        <w:t>=</w:t>
      </w:r>
      <w:r w:rsidR="005C6ABF">
        <w:rPr>
          <w:lang w:val="ru-RU"/>
        </w:rPr>
        <w:t>1990</w:t>
      </w:r>
      <w:r w:rsidR="005C6ABF">
        <w:t xml:space="preserve"> мм, В=1215 мм;</w:t>
      </w:r>
    </w:p>
    <w:p w:rsidR="00184F2B" w:rsidRPr="00B821A5" w:rsidRDefault="00184F2B" w:rsidP="008A04DE">
      <w:pPr>
        <w:spacing w:before="120"/>
        <w:jc w:val="both"/>
        <w:rPr>
          <w:highlight w:val="lightGray"/>
        </w:rPr>
      </w:pPr>
      <w:r w:rsidRPr="00B821A5">
        <w:t>одностворчаті міжкімнатні двері (металеві) -</w:t>
      </w:r>
      <w:r w:rsidR="005C6ABF" w:rsidRPr="005C6ABF">
        <w:rPr>
          <w:lang w:val="ru-RU"/>
        </w:rPr>
        <w:t xml:space="preserve"> </w:t>
      </w:r>
      <w:r w:rsidR="005C6ABF">
        <w:rPr>
          <w:lang w:val="en-US"/>
        </w:rPr>
        <w:t>H</w:t>
      </w:r>
      <w:r w:rsidR="005C6ABF" w:rsidRPr="005C6ABF">
        <w:rPr>
          <w:lang w:val="ru-RU"/>
        </w:rPr>
        <w:t>=</w:t>
      </w:r>
      <w:r w:rsidR="005C6ABF">
        <w:rPr>
          <w:lang w:val="ru-RU"/>
        </w:rPr>
        <w:t>2100</w:t>
      </w:r>
      <w:r w:rsidR="005C6ABF">
        <w:t xml:space="preserve"> мм, В=800 мм;</w:t>
      </w:r>
    </w:p>
    <w:p w:rsidR="00B821A5" w:rsidRDefault="008A04DE" w:rsidP="008A04DE">
      <w:pPr>
        <w:spacing w:before="120"/>
        <w:jc w:val="both"/>
      </w:pPr>
      <w:r w:rsidRPr="00B821A5">
        <w:rPr>
          <w:b/>
        </w:rPr>
        <w:t>Об’єкт 4</w:t>
      </w:r>
      <w:r w:rsidRPr="00B821A5">
        <w:t>- Небізька сільська бібліотека: Житомирська обл., Хорошівський р-н, с. Небіж,                    вул. Щорса, 2.</w:t>
      </w:r>
    </w:p>
    <w:p w:rsidR="008A04DE" w:rsidRPr="00B821A5" w:rsidRDefault="008A04DE" w:rsidP="008A04DE">
      <w:pPr>
        <w:spacing w:before="120"/>
        <w:jc w:val="both"/>
      </w:pPr>
      <w:r w:rsidRPr="00B821A5">
        <w:t>Коротка характеристика об’єкту:</w:t>
      </w:r>
    </w:p>
    <w:p w:rsidR="00184F2B" w:rsidRPr="00B821A5" w:rsidRDefault="00184F2B" w:rsidP="008A04DE">
      <w:pPr>
        <w:spacing w:before="120"/>
        <w:jc w:val="both"/>
      </w:pPr>
      <w:r w:rsidRPr="00B821A5">
        <w:t>одностворчаті вхідні двері</w:t>
      </w:r>
      <w:r w:rsidR="00B821A5">
        <w:t xml:space="preserve"> (металеві) </w:t>
      </w:r>
      <w:r w:rsidRPr="00B821A5">
        <w:t>-</w:t>
      </w:r>
      <w:r w:rsidR="005C6ABF" w:rsidRPr="005C6ABF">
        <w:rPr>
          <w:lang w:val="ru-RU"/>
        </w:rPr>
        <w:t xml:space="preserve"> </w:t>
      </w:r>
      <w:r w:rsidR="005C6ABF">
        <w:rPr>
          <w:lang w:val="en-US"/>
        </w:rPr>
        <w:t>H</w:t>
      </w:r>
      <w:r w:rsidR="005C6ABF" w:rsidRPr="005C6ABF">
        <w:rPr>
          <w:lang w:val="ru-RU"/>
        </w:rPr>
        <w:t>=</w:t>
      </w:r>
      <w:r w:rsidR="005C6ABF">
        <w:rPr>
          <w:lang w:val="ru-RU"/>
        </w:rPr>
        <w:t>2500</w:t>
      </w:r>
      <w:r w:rsidR="005C6ABF">
        <w:t xml:space="preserve"> мм, В=930 мм;</w:t>
      </w:r>
    </w:p>
    <w:p w:rsidR="00B821A5" w:rsidRDefault="008A04DE" w:rsidP="008A04DE">
      <w:pPr>
        <w:spacing w:before="120"/>
        <w:jc w:val="both"/>
      </w:pPr>
      <w:r w:rsidRPr="00B821A5">
        <w:rPr>
          <w:b/>
        </w:rPr>
        <w:t>Об’єкт 5</w:t>
      </w:r>
      <w:r w:rsidRPr="00B821A5">
        <w:t xml:space="preserve">- Фасівська сільська бібліотека: Житомирська обл., Хорошівський р-н, с. Фасова,              вул. </w:t>
      </w:r>
      <w:proofErr w:type="spellStart"/>
      <w:r w:rsidRPr="00B821A5">
        <w:t>Б.Хмельницького</w:t>
      </w:r>
      <w:proofErr w:type="spellEnd"/>
      <w:r w:rsidRPr="00B821A5">
        <w:t xml:space="preserve">, 41а. </w:t>
      </w:r>
    </w:p>
    <w:p w:rsidR="008A04DE" w:rsidRPr="00B821A5" w:rsidRDefault="008A04DE" w:rsidP="008A04DE">
      <w:pPr>
        <w:spacing w:before="120"/>
        <w:jc w:val="both"/>
      </w:pPr>
      <w:r w:rsidRPr="00B821A5">
        <w:t>Коротка характеристика об’єкту:</w:t>
      </w:r>
    </w:p>
    <w:p w:rsidR="00184F2B" w:rsidRPr="00B821A5" w:rsidRDefault="00184F2B" w:rsidP="008A04DE">
      <w:pPr>
        <w:spacing w:before="120"/>
        <w:jc w:val="both"/>
      </w:pPr>
      <w:proofErr w:type="spellStart"/>
      <w:r w:rsidRPr="00B821A5">
        <w:t>двостворчаті</w:t>
      </w:r>
      <w:proofErr w:type="spellEnd"/>
      <w:r w:rsidRPr="00B821A5">
        <w:t xml:space="preserve"> вхідні двері (металеві) -</w:t>
      </w:r>
      <w:r w:rsidR="005C6ABF" w:rsidRPr="005C6ABF">
        <w:rPr>
          <w:lang w:val="ru-RU"/>
        </w:rPr>
        <w:t xml:space="preserve"> </w:t>
      </w:r>
      <w:r w:rsidR="005C6ABF">
        <w:rPr>
          <w:lang w:val="en-US"/>
        </w:rPr>
        <w:t>H</w:t>
      </w:r>
      <w:r w:rsidR="005C6ABF" w:rsidRPr="005C6ABF">
        <w:rPr>
          <w:lang w:val="ru-RU"/>
        </w:rPr>
        <w:t>=2</w:t>
      </w:r>
      <w:r w:rsidR="005C6ABF">
        <w:rPr>
          <w:lang w:val="ru-RU"/>
        </w:rPr>
        <w:t>100</w:t>
      </w:r>
      <w:r w:rsidR="005C6ABF">
        <w:t xml:space="preserve"> мм, В=1410 мм;</w:t>
      </w:r>
    </w:p>
    <w:p w:rsidR="00184F2B" w:rsidRPr="00B821A5" w:rsidRDefault="00184F2B" w:rsidP="008A04DE">
      <w:pPr>
        <w:spacing w:before="120"/>
        <w:jc w:val="both"/>
      </w:pPr>
      <w:r w:rsidRPr="00B821A5">
        <w:t>одностворчаті міжкімнатні двері (металеві) -</w:t>
      </w:r>
      <w:r w:rsidR="005C6ABF" w:rsidRPr="005C6ABF">
        <w:rPr>
          <w:lang w:val="ru-RU"/>
        </w:rPr>
        <w:t xml:space="preserve"> </w:t>
      </w:r>
      <w:r w:rsidR="005C6ABF">
        <w:rPr>
          <w:lang w:val="en-US"/>
        </w:rPr>
        <w:t>H</w:t>
      </w:r>
      <w:r w:rsidR="005C6ABF" w:rsidRPr="005C6ABF">
        <w:rPr>
          <w:lang w:val="ru-RU"/>
        </w:rPr>
        <w:t>=</w:t>
      </w:r>
      <w:r w:rsidR="005C6ABF">
        <w:rPr>
          <w:lang w:val="ru-RU"/>
        </w:rPr>
        <w:t>2050</w:t>
      </w:r>
      <w:r w:rsidR="005C6ABF">
        <w:t xml:space="preserve"> мм, В=890 мм;</w:t>
      </w:r>
    </w:p>
    <w:p w:rsidR="00B821A5" w:rsidRDefault="008A04DE" w:rsidP="008A04DE">
      <w:pPr>
        <w:spacing w:before="120"/>
        <w:jc w:val="both"/>
      </w:pPr>
      <w:r w:rsidRPr="00B821A5">
        <w:rPr>
          <w:b/>
        </w:rPr>
        <w:t xml:space="preserve">Об’єкт </w:t>
      </w:r>
      <w:r w:rsidR="00B821A5" w:rsidRPr="00B821A5">
        <w:rPr>
          <w:b/>
        </w:rPr>
        <w:t>6</w:t>
      </w:r>
      <w:r w:rsidRPr="00B821A5">
        <w:t xml:space="preserve">- </w:t>
      </w:r>
      <w:proofErr w:type="spellStart"/>
      <w:r w:rsidRPr="00B821A5">
        <w:t>Кам’янобрідська</w:t>
      </w:r>
      <w:proofErr w:type="spellEnd"/>
      <w:r w:rsidRPr="00B821A5">
        <w:t xml:space="preserve"> сільська бібліотека: Житомирська обл., Хорошівський р-н, с. Кам’яний Брід, вул. Воздвиженська, 58а. </w:t>
      </w:r>
    </w:p>
    <w:p w:rsidR="008A04DE" w:rsidRPr="00B821A5" w:rsidRDefault="008A04DE" w:rsidP="008A04DE">
      <w:pPr>
        <w:spacing w:before="120"/>
        <w:jc w:val="both"/>
      </w:pPr>
      <w:r w:rsidRPr="00B821A5">
        <w:t>Коротка характеристика об’єкту:</w:t>
      </w:r>
    </w:p>
    <w:p w:rsidR="00B821A5" w:rsidRPr="00B821A5" w:rsidRDefault="00B821A5" w:rsidP="008A04DE">
      <w:pPr>
        <w:spacing w:before="120"/>
        <w:jc w:val="both"/>
      </w:pPr>
      <w:proofErr w:type="spellStart"/>
      <w:r w:rsidRPr="00B821A5">
        <w:t>двостворчаті</w:t>
      </w:r>
      <w:proofErr w:type="spellEnd"/>
      <w:r w:rsidRPr="00B821A5">
        <w:t xml:space="preserve"> міжкімнатні двері (металеві) -</w:t>
      </w:r>
      <w:r w:rsidR="005C6ABF" w:rsidRPr="005C6ABF">
        <w:rPr>
          <w:lang w:val="ru-RU"/>
        </w:rPr>
        <w:t xml:space="preserve"> </w:t>
      </w:r>
      <w:r w:rsidR="005C6ABF" w:rsidRPr="005C6ABF">
        <w:rPr>
          <w:lang w:val="en-US"/>
        </w:rPr>
        <w:t>H</w:t>
      </w:r>
      <w:r w:rsidR="005C6ABF" w:rsidRPr="005C6ABF">
        <w:rPr>
          <w:lang w:val="ru-RU"/>
        </w:rPr>
        <w:t>=</w:t>
      </w:r>
      <w:r w:rsidR="005C6ABF">
        <w:rPr>
          <w:lang w:val="ru-RU"/>
        </w:rPr>
        <w:t>2420</w:t>
      </w:r>
      <w:r w:rsidR="005C6ABF" w:rsidRPr="005C6ABF">
        <w:t xml:space="preserve"> мм, В=</w:t>
      </w:r>
      <w:r w:rsidR="005C6ABF">
        <w:t>1390</w:t>
      </w:r>
      <w:r w:rsidR="005C6ABF" w:rsidRPr="005C6ABF">
        <w:t xml:space="preserve"> мм;</w:t>
      </w:r>
    </w:p>
    <w:p w:rsidR="00B821A5" w:rsidRDefault="008A04DE" w:rsidP="008A04DE">
      <w:pPr>
        <w:spacing w:before="120"/>
        <w:jc w:val="both"/>
      </w:pPr>
      <w:r w:rsidRPr="00B821A5">
        <w:rPr>
          <w:b/>
        </w:rPr>
        <w:t xml:space="preserve">Об’єкт </w:t>
      </w:r>
      <w:r w:rsidR="00B821A5" w:rsidRPr="00B821A5">
        <w:rPr>
          <w:b/>
        </w:rPr>
        <w:t>7</w:t>
      </w:r>
      <w:r w:rsidRPr="00B821A5">
        <w:t xml:space="preserve">- Турчинецька сільська бібліотека: Житомирська обл., Хорошівський р-н, с. Турчинка, вул. Преображенська. </w:t>
      </w:r>
    </w:p>
    <w:p w:rsidR="008A04DE" w:rsidRPr="00B821A5" w:rsidRDefault="008A04DE" w:rsidP="008A04DE">
      <w:pPr>
        <w:spacing w:before="120"/>
        <w:jc w:val="both"/>
      </w:pPr>
      <w:r w:rsidRPr="00B821A5">
        <w:t>Коротка характеристика об’єкту:</w:t>
      </w:r>
    </w:p>
    <w:p w:rsidR="00B821A5" w:rsidRPr="00B821A5" w:rsidRDefault="00B821A5" w:rsidP="008A04DE">
      <w:pPr>
        <w:spacing w:before="120"/>
        <w:jc w:val="both"/>
      </w:pPr>
      <w:proofErr w:type="spellStart"/>
      <w:r w:rsidRPr="00B821A5">
        <w:t>двостворчаті</w:t>
      </w:r>
      <w:proofErr w:type="spellEnd"/>
      <w:r w:rsidRPr="00B821A5">
        <w:t xml:space="preserve"> вхідні двері (металеві) -</w:t>
      </w:r>
      <w:r w:rsidR="005C6ABF" w:rsidRPr="005C6ABF">
        <w:rPr>
          <w:lang w:val="ru-RU"/>
        </w:rPr>
        <w:t xml:space="preserve"> </w:t>
      </w:r>
      <w:r w:rsidR="005C6ABF">
        <w:rPr>
          <w:lang w:val="en-US"/>
        </w:rPr>
        <w:t>H</w:t>
      </w:r>
      <w:r w:rsidR="005C6ABF" w:rsidRPr="005C6ABF">
        <w:rPr>
          <w:lang w:val="ru-RU"/>
        </w:rPr>
        <w:t>=</w:t>
      </w:r>
      <w:r w:rsidR="005C6ABF">
        <w:rPr>
          <w:lang w:val="ru-RU"/>
        </w:rPr>
        <w:t>2430</w:t>
      </w:r>
      <w:r w:rsidR="005C6ABF">
        <w:t xml:space="preserve"> мм, В=1670 мм;</w:t>
      </w:r>
    </w:p>
    <w:p w:rsidR="008A04DE" w:rsidRPr="006B0EEE" w:rsidRDefault="008A04DE" w:rsidP="008A04DE">
      <w:pPr>
        <w:spacing w:before="120"/>
        <w:jc w:val="both"/>
        <w:rPr>
          <w:sz w:val="22"/>
          <w:szCs w:val="22"/>
        </w:rPr>
      </w:pPr>
      <w:r w:rsidRPr="006B0EEE">
        <w:rPr>
          <w:b/>
          <w:sz w:val="22"/>
          <w:szCs w:val="22"/>
        </w:rPr>
        <w:t>1.</w:t>
      </w:r>
      <w:r w:rsidRPr="006B0EEE">
        <w:rPr>
          <w:sz w:val="22"/>
          <w:szCs w:val="22"/>
        </w:rPr>
        <w:t xml:space="preserve"> </w:t>
      </w:r>
      <w:r w:rsidRPr="006B0EEE">
        <w:rPr>
          <w:b/>
          <w:sz w:val="22"/>
          <w:szCs w:val="22"/>
        </w:rPr>
        <w:t>День початку Робіт</w:t>
      </w:r>
      <w:r w:rsidRPr="006B0EEE">
        <w:rPr>
          <w:sz w:val="22"/>
          <w:szCs w:val="22"/>
        </w:rPr>
        <w:t xml:space="preserve"> – </w:t>
      </w:r>
      <w:r w:rsidRPr="008A04DE">
        <w:rPr>
          <w:sz w:val="22"/>
          <w:szCs w:val="22"/>
          <w:u w:val="single"/>
        </w:rPr>
        <w:t>14.08.2017</w:t>
      </w:r>
      <w:r>
        <w:rPr>
          <w:sz w:val="22"/>
          <w:szCs w:val="22"/>
          <w:u w:val="single"/>
        </w:rPr>
        <w:t xml:space="preserve"> року</w:t>
      </w:r>
      <w:r w:rsidRPr="006B0EEE">
        <w:rPr>
          <w:sz w:val="22"/>
          <w:szCs w:val="22"/>
        </w:rPr>
        <w:t>. Це найпізніша дата, коли Підрядник повинен розпочати виконання Робіт.</w:t>
      </w:r>
      <w:r w:rsidRPr="006B0EEE">
        <w:rPr>
          <w:sz w:val="22"/>
          <w:szCs w:val="22"/>
        </w:rPr>
        <w:tab/>
      </w:r>
    </w:p>
    <w:p w:rsidR="008A04DE" w:rsidRPr="006B0EEE" w:rsidRDefault="008A04DE" w:rsidP="008A04DE">
      <w:pPr>
        <w:numPr>
          <w:ilvl w:val="0"/>
          <w:numId w:val="7"/>
        </w:numPr>
        <w:spacing w:before="120"/>
        <w:ind w:left="0" w:firstLine="0"/>
        <w:jc w:val="both"/>
        <w:rPr>
          <w:sz w:val="22"/>
          <w:szCs w:val="22"/>
        </w:rPr>
      </w:pPr>
      <w:r w:rsidRPr="006B0EEE">
        <w:rPr>
          <w:b/>
          <w:sz w:val="22"/>
          <w:szCs w:val="22"/>
        </w:rPr>
        <w:t xml:space="preserve">Мова та законодавство.  </w:t>
      </w:r>
      <w:r w:rsidRPr="006B0EEE">
        <w:rPr>
          <w:bCs/>
          <w:sz w:val="22"/>
          <w:szCs w:val="22"/>
        </w:rPr>
        <w:t>Договір має бути укладений українською мовою.  Договір має бути підпорядкований законодавству</w:t>
      </w:r>
      <w:r w:rsidRPr="006B0EEE">
        <w:rPr>
          <w:sz w:val="22"/>
          <w:szCs w:val="22"/>
        </w:rPr>
        <w:t xml:space="preserve"> України.</w:t>
      </w:r>
    </w:p>
    <w:p w:rsidR="008A04DE" w:rsidRPr="006B0EEE" w:rsidRDefault="008A04DE" w:rsidP="008A04DE">
      <w:pPr>
        <w:numPr>
          <w:ilvl w:val="0"/>
          <w:numId w:val="10"/>
        </w:numPr>
        <w:spacing w:before="120"/>
        <w:ind w:left="0" w:firstLine="0"/>
        <w:jc w:val="both"/>
        <w:rPr>
          <w:sz w:val="22"/>
          <w:szCs w:val="22"/>
        </w:rPr>
      </w:pPr>
      <w:r w:rsidRPr="006B0EEE">
        <w:rPr>
          <w:b/>
          <w:sz w:val="22"/>
          <w:szCs w:val="22"/>
        </w:rPr>
        <w:t>Контакти.</w:t>
      </w:r>
      <w:r w:rsidRPr="006B0EEE">
        <w:rPr>
          <w:sz w:val="22"/>
          <w:szCs w:val="22"/>
        </w:rPr>
        <w:t xml:space="preserve"> Контакти між сторонами, зазначеними у цих Умовах, можуть здійснювати</w:t>
      </w:r>
      <w:r w:rsidRPr="006B0EEE">
        <w:rPr>
          <w:sz w:val="22"/>
          <w:szCs w:val="22"/>
        </w:rPr>
        <w:softHyphen/>
        <w:t>ся тільки письмово.  Повідомлення набуває чинності після отримання іншою Стороною.</w:t>
      </w:r>
    </w:p>
    <w:p w:rsidR="008A04DE" w:rsidRPr="006B0EEE" w:rsidRDefault="008A04DE" w:rsidP="008A04DE">
      <w:pPr>
        <w:numPr>
          <w:ilvl w:val="0"/>
          <w:numId w:val="10"/>
        </w:numPr>
        <w:spacing w:before="120"/>
        <w:ind w:left="0" w:firstLine="0"/>
        <w:jc w:val="both"/>
        <w:rPr>
          <w:sz w:val="22"/>
          <w:szCs w:val="22"/>
        </w:rPr>
      </w:pPr>
      <w:r w:rsidRPr="006B0EEE">
        <w:rPr>
          <w:b/>
          <w:sz w:val="22"/>
          <w:szCs w:val="22"/>
        </w:rPr>
        <w:t>Ризики Підрядника.</w:t>
      </w:r>
      <w:r w:rsidRPr="006B0EEE">
        <w:rPr>
          <w:sz w:val="22"/>
          <w:szCs w:val="22"/>
        </w:rPr>
        <w:t xml:space="preserve"> Ризики, пов’язані з травмуванням та загибеллю персоналу, втратою чи пошкодженням майна на Об’єкті та довкола нього (що включає Роботи, матеріали та Спеціалізоване обладнання та Техніку, але не обмежується ними), від Дня початку Робіт до дати підписання Акту здачі-прийняття об’єкту, є ризиками Підрядника.</w:t>
      </w:r>
    </w:p>
    <w:p w:rsidR="008A04DE" w:rsidRPr="006B0EEE" w:rsidRDefault="008A04DE" w:rsidP="008A04DE">
      <w:pPr>
        <w:numPr>
          <w:ilvl w:val="0"/>
          <w:numId w:val="10"/>
        </w:numPr>
        <w:spacing w:before="120"/>
        <w:ind w:left="0" w:firstLine="0"/>
        <w:jc w:val="both"/>
        <w:rPr>
          <w:sz w:val="22"/>
          <w:szCs w:val="22"/>
        </w:rPr>
      </w:pPr>
      <w:r w:rsidRPr="006B0EEE">
        <w:rPr>
          <w:b/>
          <w:sz w:val="22"/>
          <w:szCs w:val="22"/>
        </w:rPr>
        <w:t>Термін виконання Робіт.</w:t>
      </w:r>
      <w:r w:rsidRPr="006B0EEE">
        <w:rPr>
          <w:sz w:val="22"/>
          <w:szCs w:val="22"/>
        </w:rPr>
        <w:t xml:space="preserve"> Підрядник повинен розпочати виконання Робіт у День початку Робіт та виконувати Роботи відповідно до Календарного плану-графіку виконання Робіт узгодженого з Замовником; Підрядник повинен завершити Роботи до Очікуваної дати завершення Робіт що буде вказаний в Договорі підряду.</w:t>
      </w:r>
    </w:p>
    <w:p w:rsidR="008A04DE" w:rsidRPr="006B0EEE" w:rsidRDefault="008A04DE" w:rsidP="008A04DE">
      <w:pPr>
        <w:numPr>
          <w:ilvl w:val="0"/>
          <w:numId w:val="10"/>
        </w:numPr>
        <w:spacing w:before="120"/>
        <w:ind w:left="0" w:firstLine="0"/>
        <w:jc w:val="both"/>
        <w:rPr>
          <w:sz w:val="22"/>
          <w:szCs w:val="22"/>
        </w:rPr>
      </w:pPr>
      <w:r w:rsidRPr="006B0EEE">
        <w:rPr>
          <w:b/>
          <w:sz w:val="22"/>
          <w:szCs w:val="22"/>
        </w:rPr>
        <w:t>Безпека</w:t>
      </w:r>
      <w:r w:rsidRPr="006B0EEE">
        <w:rPr>
          <w:sz w:val="22"/>
          <w:szCs w:val="22"/>
        </w:rPr>
        <w:t>. Підрядник є відповідальним за дотримання усіх заходів безпеки на Об’єкті.</w:t>
      </w:r>
    </w:p>
    <w:p w:rsidR="008A04DE" w:rsidRPr="006B0EEE" w:rsidRDefault="008A04DE" w:rsidP="008A04DE">
      <w:pPr>
        <w:numPr>
          <w:ilvl w:val="0"/>
          <w:numId w:val="10"/>
        </w:numPr>
        <w:spacing w:before="120"/>
        <w:ind w:left="0" w:firstLine="0"/>
        <w:jc w:val="both"/>
        <w:rPr>
          <w:sz w:val="22"/>
          <w:szCs w:val="22"/>
        </w:rPr>
      </w:pPr>
      <w:r w:rsidRPr="006B0EEE">
        <w:rPr>
          <w:b/>
          <w:sz w:val="22"/>
          <w:szCs w:val="22"/>
        </w:rPr>
        <w:t xml:space="preserve">Податки.  </w:t>
      </w:r>
      <w:r w:rsidRPr="006B0EEE">
        <w:rPr>
          <w:bCs/>
          <w:sz w:val="22"/>
          <w:szCs w:val="22"/>
        </w:rPr>
        <w:t>Підрядник є відповідальним за сплату будь-яких податків, які він зобов’язаний сплатити відповідно</w:t>
      </w:r>
      <w:r w:rsidRPr="006B0EEE">
        <w:rPr>
          <w:sz w:val="22"/>
          <w:szCs w:val="22"/>
        </w:rPr>
        <w:t xml:space="preserve"> до законодавства України.</w:t>
      </w:r>
    </w:p>
    <w:p w:rsidR="008A04DE" w:rsidRPr="006B0EEE" w:rsidRDefault="008A04DE" w:rsidP="008A04DE">
      <w:pPr>
        <w:numPr>
          <w:ilvl w:val="0"/>
          <w:numId w:val="10"/>
        </w:numPr>
        <w:spacing w:before="120"/>
        <w:ind w:left="0" w:firstLine="0"/>
        <w:jc w:val="both"/>
        <w:rPr>
          <w:sz w:val="22"/>
          <w:szCs w:val="22"/>
        </w:rPr>
      </w:pPr>
      <w:r w:rsidRPr="006B0EEE">
        <w:rPr>
          <w:b/>
          <w:sz w:val="22"/>
          <w:szCs w:val="22"/>
        </w:rPr>
        <w:t xml:space="preserve">Передоплата.  </w:t>
      </w:r>
      <w:r w:rsidRPr="006B0EEE">
        <w:rPr>
          <w:sz w:val="22"/>
          <w:szCs w:val="22"/>
        </w:rPr>
        <w:t xml:space="preserve">Передоплата Підряднику не може перевищувати </w:t>
      </w:r>
      <w:r>
        <w:rPr>
          <w:sz w:val="22"/>
          <w:szCs w:val="22"/>
        </w:rPr>
        <w:t xml:space="preserve">30 </w:t>
      </w:r>
      <w:r w:rsidRPr="006B0EEE">
        <w:rPr>
          <w:sz w:val="22"/>
          <w:szCs w:val="22"/>
        </w:rPr>
        <w:t>відсо</w:t>
      </w:r>
      <w:r w:rsidRPr="006B0EEE">
        <w:rPr>
          <w:sz w:val="22"/>
          <w:szCs w:val="22"/>
        </w:rPr>
        <w:softHyphen/>
        <w:t>т</w:t>
      </w:r>
      <w:r w:rsidRPr="006B0EEE">
        <w:rPr>
          <w:sz w:val="22"/>
          <w:szCs w:val="22"/>
        </w:rPr>
        <w:softHyphen/>
        <w:t>ків від Суми Договору. У іншому випадку рішення про надання підряднику передоплати буде розглядатись окремо, в залежності від можливостей Замовника.</w:t>
      </w:r>
    </w:p>
    <w:p w:rsidR="008A04DE" w:rsidRPr="006B0EEE" w:rsidRDefault="008A04DE" w:rsidP="008A04DE">
      <w:pPr>
        <w:numPr>
          <w:ilvl w:val="0"/>
          <w:numId w:val="10"/>
        </w:numPr>
        <w:spacing w:before="120"/>
        <w:ind w:left="0" w:firstLine="0"/>
        <w:jc w:val="both"/>
        <w:rPr>
          <w:sz w:val="22"/>
          <w:szCs w:val="22"/>
        </w:rPr>
      </w:pPr>
      <w:r w:rsidRPr="006B0EEE">
        <w:rPr>
          <w:b/>
          <w:sz w:val="22"/>
          <w:szCs w:val="22"/>
        </w:rPr>
        <w:t>Завершення Робіт та їх здача/прийняття.</w:t>
      </w:r>
      <w:r w:rsidRPr="006B0EEE">
        <w:rPr>
          <w:sz w:val="22"/>
          <w:szCs w:val="22"/>
        </w:rPr>
        <w:t xml:space="preserve">  Протягом 7 (семи) днів з дати підписання  Акту приймальної комісії, реєстрації Декларації про готовність об'єкта до експлуатації, або видачі Сертифіката, Замовник вступає у володіння Об’єктом.</w:t>
      </w:r>
    </w:p>
    <w:p w:rsidR="008A04DE" w:rsidRPr="006B0EEE" w:rsidRDefault="008A04DE" w:rsidP="008A04DE">
      <w:pPr>
        <w:numPr>
          <w:ilvl w:val="0"/>
          <w:numId w:val="10"/>
        </w:numPr>
        <w:spacing w:before="120"/>
        <w:ind w:left="0" w:firstLine="0"/>
        <w:jc w:val="both"/>
        <w:rPr>
          <w:sz w:val="22"/>
          <w:szCs w:val="22"/>
        </w:rPr>
      </w:pPr>
      <w:r w:rsidRPr="006B0EEE">
        <w:rPr>
          <w:b/>
          <w:sz w:val="22"/>
          <w:szCs w:val="22"/>
        </w:rPr>
        <w:t>Дострокове припинення дії Договору.</w:t>
      </w:r>
      <w:r w:rsidRPr="006B0EEE">
        <w:rPr>
          <w:sz w:val="22"/>
          <w:szCs w:val="22"/>
        </w:rPr>
        <w:t xml:space="preserve">  За</w:t>
      </w:r>
      <w:r w:rsidRPr="006B0EEE">
        <w:rPr>
          <w:bCs/>
          <w:sz w:val="22"/>
          <w:szCs w:val="22"/>
        </w:rPr>
        <w:t>мовник чи Підрядник можуть достроково припинити дію майбутнього Договору підряду у випадку істотного невиконання Договору іншою Стороною. Під істотним невиконанням Договору мається на увазі (зазначений перелік не є вичерпним):</w:t>
      </w:r>
    </w:p>
    <w:p w:rsidR="008A04DE" w:rsidRPr="006B0EEE" w:rsidRDefault="008A04DE" w:rsidP="008A04DE">
      <w:pPr>
        <w:pStyle w:val="a7"/>
        <w:numPr>
          <w:ilvl w:val="0"/>
          <w:numId w:val="11"/>
        </w:numPr>
        <w:spacing w:before="120" w:after="0"/>
        <w:jc w:val="both"/>
        <w:rPr>
          <w:bCs/>
          <w:sz w:val="22"/>
          <w:szCs w:val="22"/>
        </w:rPr>
      </w:pPr>
      <w:r w:rsidRPr="006B0EEE">
        <w:rPr>
          <w:bCs/>
          <w:sz w:val="22"/>
          <w:szCs w:val="22"/>
        </w:rPr>
        <w:t>Підрядник призупинив виконання Робіт на строк, що перевищує 10 (десять) днів, без погодження з Замовником;</w:t>
      </w:r>
    </w:p>
    <w:p w:rsidR="008A04DE" w:rsidRPr="006B0EEE" w:rsidRDefault="008A04DE" w:rsidP="008A04DE">
      <w:pPr>
        <w:pStyle w:val="a4"/>
        <w:numPr>
          <w:ilvl w:val="0"/>
          <w:numId w:val="11"/>
        </w:numPr>
        <w:tabs>
          <w:tab w:val="clear" w:pos="4819"/>
          <w:tab w:val="clear" w:pos="9639"/>
          <w:tab w:val="center" w:pos="4320"/>
          <w:tab w:val="left" w:pos="7200"/>
        </w:tabs>
        <w:spacing w:before="120"/>
        <w:jc w:val="both"/>
        <w:rPr>
          <w:bCs/>
          <w:sz w:val="22"/>
          <w:szCs w:val="22"/>
        </w:rPr>
      </w:pPr>
      <w:r w:rsidRPr="006B0EEE">
        <w:rPr>
          <w:bCs/>
          <w:sz w:val="22"/>
          <w:szCs w:val="22"/>
        </w:rPr>
        <w:t xml:space="preserve">Підрядник затримав усунення Дефектів, письмово вказаних Замовником більш ніж на 21 (двадцять один) день з дати відповідного повідомлення; </w:t>
      </w:r>
    </w:p>
    <w:p w:rsidR="008A04DE" w:rsidRPr="006B0EEE" w:rsidRDefault="008A04DE" w:rsidP="008A04DE">
      <w:pPr>
        <w:pStyle w:val="a7"/>
        <w:numPr>
          <w:ilvl w:val="0"/>
          <w:numId w:val="11"/>
        </w:numPr>
        <w:spacing w:before="120" w:after="0"/>
        <w:ind w:right="-45"/>
        <w:jc w:val="both"/>
        <w:rPr>
          <w:sz w:val="22"/>
          <w:szCs w:val="22"/>
        </w:rPr>
      </w:pPr>
      <w:r w:rsidRPr="006B0EEE">
        <w:rPr>
          <w:sz w:val="22"/>
          <w:szCs w:val="22"/>
        </w:rPr>
        <w:t>Підрядник затримав завершення робіт не менше ніж на 30 (тридцять) днів; Крім того, Замовник може достроково припинити дію Договору і з інших причин, після письмо</w:t>
      </w:r>
      <w:r w:rsidRPr="006B0EEE">
        <w:rPr>
          <w:sz w:val="22"/>
          <w:szCs w:val="22"/>
        </w:rPr>
        <w:softHyphen/>
        <w:t>вого попередження Підрядника про це не менш ніж за 30 (тридцять) днів до дати такого припинення.  Негайно після отримання відповідного попередження Замовника, Підрядник повинен зупинити виконання Робіт, законсервувати Об’єкт та завершити евакуацію з об’єкту не пізніше, ніж через 15 (п’ятнадцять) днів з дати, зазначеної у попередженні.</w:t>
      </w:r>
    </w:p>
    <w:p w:rsidR="008A04DE" w:rsidRPr="006B0EEE" w:rsidRDefault="008A04DE" w:rsidP="008A04DE">
      <w:pPr>
        <w:spacing w:before="120"/>
        <w:jc w:val="both"/>
        <w:rPr>
          <w:sz w:val="22"/>
          <w:szCs w:val="22"/>
        </w:rPr>
      </w:pPr>
      <w:r w:rsidRPr="006B0EEE">
        <w:rPr>
          <w:b/>
          <w:bCs/>
          <w:sz w:val="22"/>
          <w:szCs w:val="22"/>
        </w:rPr>
        <w:t>11.</w:t>
      </w:r>
      <w:r w:rsidRPr="006B0EEE">
        <w:rPr>
          <w:b/>
          <w:sz w:val="22"/>
          <w:szCs w:val="22"/>
        </w:rPr>
        <w:t xml:space="preserve"> </w:t>
      </w:r>
      <w:proofErr w:type="spellStart"/>
      <w:r w:rsidRPr="006B0EEE">
        <w:rPr>
          <w:b/>
          <w:sz w:val="22"/>
          <w:szCs w:val="22"/>
        </w:rPr>
        <w:t>Force</w:t>
      </w:r>
      <w:proofErr w:type="spellEnd"/>
      <w:r w:rsidRPr="006B0EEE">
        <w:rPr>
          <w:b/>
          <w:sz w:val="22"/>
          <w:szCs w:val="22"/>
        </w:rPr>
        <w:t xml:space="preserve"> </w:t>
      </w:r>
      <w:proofErr w:type="spellStart"/>
      <w:r w:rsidRPr="006B0EEE">
        <w:rPr>
          <w:b/>
          <w:sz w:val="22"/>
          <w:szCs w:val="22"/>
        </w:rPr>
        <w:t>Majeure</w:t>
      </w:r>
      <w:proofErr w:type="spellEnd"/>
      <w:r w:rsidRPr="006B0EEE">
        <w:rPr>
          <w:b/>
          <w:sz w:val="22"/>
          <w:szCs w:val="22"/>
        </w:rPr>
        <w:t xml:space="preserve">: </w:t>
      </w:r>
      <w:r w:rsidRPr="006B0EEE">
        <w:rPr>
          <w:sz w:val="22"/>
          <w:szCs w:val="22"/>
        </w:rPr>
        <w:t>Кожна зі Сторін може достроково припинити дію Договору через виникнення обставин непереборної сили, таких як воєнні дії та природні катаклізми (землетруси, повені, пожежі, тощо).  Про дострокове припинення дії Договору через обставини форс мажору інша Сторона Договору повинна бути проінформована за 30 (тридцять) днів.</w:t>
      </w:r>
    </w:p>
    <w:p w:rsidR="008A04DE" w:rsidRPr="006B0EEE" w:rsidRDefault="008A04DE" w:rsidP="008A04DE">
      <w:pPr>
        <w:spacing w:before="120"/>
        <w:jc w:val="both"/>
        <w:rPr>
          <w:sz w:val="22"/>
          <w:szCs w:val="22"/>
        </w:rPr>
      </w:pPr>
      <w:r w:rsidRPr="006B0EEE">
        <w:rPr>
          <w:b/>
          <w:bCs/>
          <w:sz w:val="22"/>
          <w:szCs w:val="22"/>
        </w:rPr>
        <w:t>12.</w:t>
      </w:r>
      <w:r w:rsidRPr="006B0EEE">
        <w:rPr>
          <w:b/>
          <w:sz w:val="22"/>
          <w:szCs w:val="22"/>
        </w:rPr>
        <w:t xml:space="preserve"> Розрахунки при достроковому припиненні дії Договору.</w:t>
      </w:r>
      <w:r w:rsidRPr="006B0EEE">
        <w:rPr>
          <w:sz w:val="22"/>
          <w:szCs w:val="22"/>
        </w:rPr>
        <w:t xml:space="preserve"> Якщо дію Договору буде достроково припинено через істотне невиконання умов Договору Підрядником, Замовник повинен скласти Акт здачі-прийняття на суму виконаних робіт та вартості закуплених матеріалів, за вирахуванням авансових платежів, перерахованих Підряднику до дати підписання зазначеного Акту здачі-прийняття.  </w:t>
      </w:r>
    </w:p>
    <w:p w:rsidR="008A04DE" w:rsidRPr="006B0EEE" w:rsidRDefault="008A04DE" w:rsidP="008A04DE">
      <w:pPr>
        <w:spacing w:before="120"/>
        <w:jc w:val="both"/>
        <w:rPr>
          <w:bCs/>
          <w:sz w:val="22"/>
          <w:szCs w:val="22"/>
        </w:rPr>
      </w:pPr>
      <w:r w:rsidRPr="006B0EEE">
        <w:rPr>
          <w:b/>
          <w:bCs/>
          <w:sz w:val="22"/>
          <w:szCs w:val="22"/>
        </w:rPr>
        <w:t>13.</w:t>
      </w:r>
      <w:r w:rsidRPr="006B0EEE">
        <w:rPr>
          <w:b/>
          <w:sz w:val="22"/>
          <w:szCs w:val="22"/>
        </w:rPr>
        <w:t xml:space="preserve"> Розв’язання конфліктів.</w:t>
      </w:r>
      <w:r w:rsidRPr="006B0EEE">
        <w:rPr>
          <w:sz w:val="22"/>
          <w:szCs w:val="22"/>
        </w:rPr>
        <w:t xml:space="preserve"> </w:t>
      </w:r>
      <w:r w:rsidRPr="006B0EEE">
        <w:rPr>
          <w:bCs/>
          <w:sz w:val="22"/>
          <w:szCs w:val="22"/>
        </w:rPr>
        <w:t>Замовник та Підрядник повинні прикласти максимум зусиль для врегулювання будь-яких розбіжностей чи спорів, які між ними можуть виникати у процесі виконання Договору чи у зв’язку з ним, шляхом переговорів. Якщо такі розбіжності чи спори не будуть розв’язані, будь-яка з сторін може подати позов, відповідно до законодавства України.  Місце арбітражу визначається відповідно до Господарського процесуального Кодексу України.</w:t>
      </w:r>
    </w:p>
    <w:p w:rsidR="005C6ABF" w:rsidRPr="006B0EEE" w:rsidRDefault="005C6ABF" w:rsidP="005C6ABF">
      <w:pPr>
        <w:spacing w:before="240" w:after="120"/>
        <w:rPr>
          <w:b/>
          <w:bCs/>
          <w:sz w:val="22"/>
          <w:szCs w:val="22"/>
        </w:rPr>
      </w:pPr>
      <w:r w:rsidRPr="006B0EEE">
        <w:rPr>
          <w:b/>
          <w:bCs/>
          <w:sz w:val="22"/>
          <w:szCs w:val="22"/>
        </w:rPr>
        <w:t>Розділ 4. СПЕЦИФІКАЦІЇ ОСНОВНИХ МАТЕРІАЛІВ, ВИРОБІВ ТА ОБЛАДНАННЯ НЕОБХІДНИХ ДЛЯ ВИКОНАННЯ РЕМОНТНО-БУДІВЕЛЬНИХ РОБІТ</w:t>
      </w:r>
    </w:p>
    <w:p w:rsidR="005C6ABF" w:rsidRPr="00C7076F" w:rsidRDefault="005C6ABF" w:rsidP="005C6ABF">
      <w:pPr>
        <w:jc w:val="center"/>
        <w:rPr>
          <w:bCs/>
          <w:sz w:val="22"/>
          <w:szCs w:val="22"/>
        </w:rPr>
      </w:pPr>
      <w:r w:rsidRPr="00C7076F">
        <w:rPr>
          <w:bCs/>
          <w:sz w:val="22"/>
          <w:szCs w:val="22"/>
        </w:rPr>
        <w:t xml:space="preserve"> </w:t>
      </w:r>
      <w:r w:rsidRPr="00C7076F">
        <w:rPr>
          <w:bCs/>
          <w:sz w:val="22"/>
          <w:szCs w:val="22"/>
          <w:u w:val="single"/>
        </w:rPr>
        <w:t>(</w:t>
      </w:r>
      <w:r w:rsidRPr="00C7076F">
        <w:rPr>
          <w:bCs/>
          <w:sz w:val="22"/>
          <w:szCs w:val="22"/>
          <w:highlight w:val="lightGray"/>
          <w:u w:val="single"/>
        </w:rPr>
        <w:t>вказати назву МП</w:t>
      </w:r>
      <w:r w:rsidRPr="00C7076F">
        <w:rPr>
          <w:bCs/>
          <w:sz w:val="22"/>
          <w:szCs w:val="22"/>
          <w:u w:val="single"/>
        </w:rPr>
        <w:t>)</w:t>
      </w:r>
      <w:r w:rsidRPr="00C7076F">
        <w:rPr>
          <w:bCs/>
          <w:sz w:val="22"/>
          <w:szCs w:val="22"/>
        </w:rPr>
        <w:t>.</w:t>
      </w: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3"/>
        <w:gridCol w:w="2864"/>
        <w:gridCol w:w="2537"/>
        <w:gridCol w:w="1666"/>
        <w:gridCol w:w="2097"/>
      </w:tblGrid>
      <w:tr w:rsidR="005C6ABF" w:rsidRPr="006B0EEE" w:rsidTr="00CA1631">
        <w:trPr>
          <w:trHeight w:val="525"/>
        </w:trPr>
        <w:tc>
          <w:tcPr>
            <w:tcW w:w="393" w:type="dxa"/>
            <w:tcMar>
              <w:top w:w="17" w:type="dxa"/>
              <w:left w:w="17" w:type="dxa"/>
              <w:bottom w:w="0" w:type="dxa"/>
              <w:right w:w="17" w:type="dxa"/>
            </w:tcMar>
            <w:vAlign w:val="center"/>
          </w:tcPr>
          <w:p w:rsidR="005C6ABF" w:rsidRPr="006B0EEE" w:rsidRDefault="005C6ABF" w:rsidP="00CA1631">
            <w:pPr>
              <w:jc w:val="center"/>
              <w:rPr>
                <w:rFonts w:eastAsia="Arial Unicode MS"/>
                <w:b/>
                <w:bCs/>
                <w:sz w:val="22"/>
                <w:szCs w:val="22"/>
              </w:rPr>
            </w:pPr>
            <w:r w:rsidRPr="006B0EEE">
              <w:rPr>
                <w:b/>
                <w:bCs/>
                <w:sz w:val="22"/>
                <w:szCs w:val="22"/>
              </w:rPr>
              <w:t>№ з/п</w:t>
            </w:r>
          </w:p>
        </w:tc>
        <w:tc>
          <w:tcPr>
            <w:tcW w:w="2864" w:type="dxa"/>
            <w:tcMar>
              <w:top w:w="17" w:type="dxa"/>
              <w:left w:w="17" w:type="dxa"/>
              <w:bottom w:w="0" w:type="dxa"/>
              <w:right w:w="17" w:type="dxa"/>
            </w:tcMar>
            <w:vAlign w:val="center"/>
          </w:tcPr>
          <w:p w:rsidR="005C6ABF" w:rsidRPr="006B0EEE" w:rsidRDefault="005C6ABF" w:rsidP="00CA1631">
            <w:pPr>
              <w:jc w:val="center"/>
              <w:rPr>
                <w:rFonts w:eastAsia="Arial Unicode MS"/>
                <w:b/>
                <w:bCs/>
                <w:sz w:val="22"/>
                <w:szCs w:val="22"/>
              </w:rPr>
            </w:pPr>
            <w:r w:rsidRPr="006B0EEE">
              <w:rPr>
                <w:b/>
                <w:bCs/>
                <w:sz w:val="22"/>
                <w:szCs w:val="22"/>
              </w:rPr>
              <w:t>Найменування  робіт</w:t>
            </w:r>
          </w:p>
        </w:tc>
        <w:tc>
          <w:tcPr>
            <w:tcW w:w="2537" w:type="dxa"/>
            <w:tcMar>
              <w:top w:w="17" w:type="dxa"/>
              <w:left w:w="17" w:type="dxa"/>
              <w:bottom w:w="0" w:type="dxa"/>
              <w:right w:w="17" w:type="dxa"/>
            </w:tcMar>
            <w:vAlign w:val="center"/>
          </w:tcPr>
          <w:p w:rsidR="005C6ABF" w:rsidRPr="006B0EEE" w:rsidRDefault="005C6ABF" w:rsidP="00CA1631">
            <w:pPr>
              <w:jc w:val="center"/>
              <w:rPr>
                <w:rFonts w:eastAsia="Arial Unicode MS"/>
                <w:b/>
                <w:bCs/>
                <w:sz w:val="22"/>
                <w:szCs w:val="22"/>
              </w:rPr>
            </w:pPr>
            <w:r w:rsidRPr="006B0EEE">
              <w:rPr>
                <w:b/>
                <w:bCs/>
                <w:sz w:val="22"/>
                <w:szCs w:val="22"/>
              </w:rPr>
              <w:t>Назва матеріалу (обладнання)</w:t>
            </w:r>
          </w:p>
        </w:tc>
        <w:tc>
          <w:tcPr>
            <w:tcW w:w="1666" w:type="dxa"/>
            <w:tcMar>
              <w:top w:w="17" w:type="dxa"/>
              <w:left w:w="17" w:type="dxa"/>
              <w:bottom w:w="0" w:type="dxa"/>
              <w:right w:w="17" w:type="dxa"/>
            </w:tcMar>
            <w:vAlign w:val="center"/>
          </w:tcPr>
          <w:p w:rsidR="005C6ABF" w:rsidRPr="006B0EEE" w:rsidRDefault="005C6ABF" w:rsidP="00CA1631">
            <w:pPr>
              <w:jc w:val="center"/>
              <w:rPr>
                <w:rFonts w:eastAsia="Arial Unicode MS"/>
                <w:b/>
                <w:bCs/>
                <w:sz w:val="22"/>
                <w:szCs w:val="22"/>
              </w:rPr>
            </w:pPr>
            <w:r w:rsidRPr="006B0EEE">
              <w:rPr>
                <w:b/>
                <w:bCs/>
                <w:sz w:val="22"/>
                <w:szCs w:val="22"/>
              </w:rPr>
              <w:t xml:space="preserve">Стандарт            (ДСТ, ТУ) </w:t>
            </w:r>
          </w:p>
        </w:tc>
        <w:tc>
          <w:tcPr>
            <w:tcW w:w="2097" w:type="dxa"/>
            <w:tcMar>
              <w:top w:w="17" w:type="dxa"/>
              <w:left w:w="17" w:type="dxa"/>
              <w:bottom w:w="0" w:type="dxa"/>
              <w:right w:w="17" w:type="dxa"/>
            </w:tcMar>
            <w:vAlign w:val="center"/>
          </w:tcPr>
          <w:p w:rsidR="005C6ABF" w:rsidRPr="006B0EEE" w:rsidRDefault="005C6ABF" w:rsidP="00CA1631">
            <w:pPr>
              <w:jc w:val="center"/>
              <w:rPr>
                <w:rFonts w:eastAsia="Arial Unicode MS"/>
                <w:b/>
                <w:bCs/>
                <w:sz w:val="22"/>
                <w:szCs w:val="22"/>
              </w:rPr>
            </w:pPr>
            <w:r w:rsidRPr="006B0EEE">
              <w:rPr>
                <w:b/>
                <w:bCs/>
                <w:sz w:val="22"/>
                <w:szCs w:val="22"/>
              </w:rPr>
              <w:t>Примітки</w:t>
            </w:r>
          </w:p>
        </w:tc>
      </w:tr>
      <w:tr w:rsidR="005C6ABF" w:rsidRPr="006B0EEE" w:rsidTr="00CA1631">
        <w:trPr>
          <w:trHeight w:val="270"/>
        </w:trPr>
        <w:tc>
          <w:tcPr>
            <w:tcW w:w="393" w:type="dxa"/>
            <w:tcMar>
              <w:top w:w="17" w:type="dxa"/>
              <w:left w:w="17" w:type="dxa"/>
              <w:bottom w:w="0" w:type="dxa"/>
              <w:right w:w="17" w:type="dxa"/>
            </w:tcMar>
            <w:vAlign w:val="center"/>
          </w:tcPr>
          <w:p w:rsidR="005C6ABF" w:rsidRPr="006B0EEE" w:rsidRDefault="005C6ABF" w:rsidP="00CA1631">
            <w:pPr>
              <w:jc w:val="center"/>
              <w:rPr>
                <w:rFonts w:eastAsia="Arial Unicode MS"/>
                <w:b/>
                <w:bCs/>
                <w:sz w:val="22"/>
                <w:szCs w:val="22"/>
              </w:rPr>
            </w:pPr>
            <w:r w:rsidRPr="006B0EEE">
              <w:rPr>
                <w:b/>
                <w:bCs/>
                <w:sz w:val="22"/>
                <w:szCs w:val="22"/>
              </w:rPr>
              <w:t>1</w:t>
            </w:r>
          </w:p>
        </w:tc>
        <w:tc>
          <w:tcPr>
            <w:tcW w:w="2864" w:type="dxa"/>
            <w:tcMar>
              <w:top w:w="17" w:type="dxa"/>
              <w:left w:w="17" w:type="dxa"/>
              <w:bottom w:w="0" w:type="dxa"/>
              <w:right w:w="17" w:type="dxa"/>
            </w:tcMar>
            <w:vAlign w:val="center"/>
          </w:tcPr>
          <w:p w:rsidR="005C6ABF" w:rsidRPr="006B0EEE" w:rsidRDefault="005C6ABF" w:rsidP="00CA1631">
            <w:pPr>
              <w:jc w:val="center"/>
              <w:rPr>
                <w:rFonts w:eastAsia="Arial Unicode MS"/>
                <w:b/>
                <w:bCs/>
                <w:sz w:val="22"/>
                <w:szCs w:val="22"/>
              </w:rPr>
            </w:pPr>
            <w:r w:rsidRPr="006B0EEE">
              <w:rPr>
                <w:b/>
                <w:bCs/>
                <w:sz w:val="22"/>
                <w:szCs w:val="22"/>
              </w:rPr>
              <w:t>2</w:t>
            </w:r>
          </w:p>
        </w:tc>
        <w:tc>
          <w:tcPr>
            <w:tcW w:w="2537" w:type="dxa"/>
            <w:tcMar>
              <w:top w:w="17" w:type="dxa"/>
              <w:left w:w="17" w:type="dxa"/>
              <w:bottom w:w="0" w:type="dxa"/>
              <w:right w:w="17" w:type="dxa"/>
            </w:tcMar>
            <w:vAlign w:val="center"/>
          </w:tcPr>
          <w:p w:rsidR="005C6ABF" w:rsidRPr="006B0EEE" w:rsidRDefault="005C6ABF" w:rsidP="00CA1631">
            <w:pPr>
              <w:jc w:val="center"/>
              <w:rPr>
                <w:rFonts w:eastAsia="Arial Unicode MS"/>
                <w:b/>
                <w:bCs/>
                <w:sz w:val="22"/>
                <w:szCs w:val="22"/>
              </w:rPr>
            </w:pPr>
            <w:r w:rsidRPr="006B0EEE">
              <w:rPr>
                <w:b/>
                <w:bCs/>
                <w:sz w:val="22"/>
                <w:szCs w:val="22"/>
              </w:rPr>
              <w:t>3</w:t>
            </w:r>
          </w:p>
        </w:tc>
        <w:tc>
          <w:tcPr>
            <w:tcW w:w="1666" w:type="dxa"/>
            <w:tcMar>
              <w:top w:w="17" w:type="dxa"/>
              <w:left w:w="17" w:type="dxa"/>
              <w:bottom w:w="0" w:type="dxa"/>
              <w:right w:w="17" w:type="dxa"/>
            </w:tcMar>
            <w:vAlign w:val="center"/>
          </w:tcPr>
          <w:p w:rsidR="005C6ABF" w:rsidRPr="006B0EEE" w:rsidRDefault="005C6ABF" w:rsidP="00CA1631">
            <w:pPr>
              <w:jc w:val="center"/>
              <w:rPr>
                <w:rFonts w:eastAsia="Arial Unicode MS"/>
                <w:b/>
                <w:bCs/>
                <w:sz w:val="22"/>
                <w:szCs w:val="22"/>
              </w:rPr>
            </w:pPr>
            <w:r w:rsidRPr="006B0EEE">
              <w:rPr>
                <w:b/>
                <w:bCs/>
                <w:sz w:val="22"/>
                <w:szCs w:val="22"/>
              </w:rPr>
              <w:t>4</w:t>
            </w:r>
          </w:p>
        </w:tc>
        <w:tc>
          <w:tcPr>
            <w:tcW w:w="2097" w:type="dxa"/>
            <w:tcMar>
              <w:top w:w="17" w:type="dxa"/>
              <w:left w:w="17" w:type="dxa"/>
              <w:bottom w:w="0" w:type="dxa"/>
              <w:right w:w="17" w:type="dxa"/>
            </w:tcMar>
            <w:vAlign w:val="center"/>
          </w:tcPr>
          <w:p w:rsidR="005C6ABF" w:rsidRPr="006B0EEE" w:rsidRDefault="005C6ABF" w:rsidP="00CA1631">
            <w:pPr>
              <w:jc w:val="center"/>
              <w:rPr>
                <w:rFonts w:eastAsia="Arial Unicode MS"/>
                <w:b/>
                <w:bCs/>
                <w:sz w:val="22"/>
                <w:szCs w:val="22"/>
              </w:rPr>
            </w:pPr>
            <w:r w:rsidRPr="006B0EEE">
              <w:rPr>
                <w:b/>
                <w:bCs/>
                <w:sz w:val="22"/>
                <w:szCs w:val="22"/>
              </w:rPr>
              <w:t>5</w:t>
            </w:r>
          </w:p>
        </w:tc>
      </w:tr>
      <w:tr w:rsidR="005C6ABF" w:rsidRPr="006B0EEE" w:rsidTr="00CA1631">
        <w:trPr>
          <w:trHeight w:val="1005"/>
        </w:trPr>
        <w:tc>
          <w:tcPr>
            <w:tcW w:w="393" w:type="dxa"/>
            <w:tcMar>
              <w:top w:w="17" w:type="dxa"/>
              <w:left w:w="17" w:type="dxa"/>
              <w:bottom w:w="0" w:type="dxa"/>
              <w:right w:w="17" w:type="dxa"/>
            </w:tcMar>
            <w:vAlign w:val="center"/>
          </w:tcPr>
          <w:p w:rsidR="005C6ABF" w:rsidRPr="006B0EEE" w:rsidRDefault="005C6ABF" w:rsidP="00CA1631">
            <w:pPr>
              <w:jc w:val="center"/>
              <w:rPr>
                <w:rFonts w:eastAsia="Arial Unicode MS"/>
                <w:sz w:val="22"/>
                <w:szCs w:val="22"/>
              </w:rPr>
            </w:pPr>
            <w:r w:rsidRPr="006B0EEE">
              <w:rPr>
                <w:rFonts w:eastAsia="Arial Unicode MS"/>
                <w:sz w:val="22"/>
                <w:szCs w:val="22"/>
              </w:rPr>
              <w:t>1.</w:t>
            </w:r>
          </w:p>
        </w:tc>
        <w:tc>
          <w:tcPr>
            <w:tcW w:w="2864" w:type="dxa"/>
            <w:tcMar>
              <w:top w:w="17" w:type="dxa"/>
              <w:left w:w="17" w:type="dxa"/>
              <w:bottom w:w="0" w:type="dxa"/>
              <w:right w:w="17" w:type="dxa"/>
            </w:tcMar>
            <w:vAlign w:val="center"/>
          </w:tcPr>
          <w:p w:rsidR="005C6ABF" w:rsidRDefault="005C6ABF" w:rsidP="00CA1631">
            <w:pPr>
              <w:rPr>
                <w:sz w:val="16"/>
                <w:szCs w:val="16"/>
              </w:rPr>
            </w:pPr>
            <w:r>
              <w:rPr>
                <w:sz w:val="16"/>
                <w:szCs w:val="16"/>
              </w:rPr>
              <w:t xml:space="preserve">*С121-400-1  </w:t>
            </w:r>
            <w:proofErr w:type="spellStart"/>
            <w:r>
              <w:rPr>
                <w:sz w:val="16"/>
                <w:szCs w:val="16"/>
              </w:rPr>
              <w:t>вариант</w:t>
            </w:r>
            <w:proofErr w:type="spellEnd"/>
            <w:r>
              <w:rPr>
                <w:sz w:val="16"/>
                <w:szCs w:val="16"/>
              </w:rPr>
              <w:t xml:space="preserve"> 10</w:t>
            </w:r>
          </w:p>
          <w:p w:rsidR="005C6ABF" w:rsidRPr="006B0EEE" w:rsidRDefault="005C6ABF" w:rsidP="00CA1631">
            <w:pPr>
              <w:rPr>
                <w:rFonts w:eastAsia="Arial Unicode MS"/>
                <w:sz w:val="20"/>
                <w:szCs w:val="20"/>
              </w:rPr>
            </w:pPr>
          </w:p>
        </w:tc>
        <w:tc>
          <w:tcPr>
            <w:tcW w:w="2537" w:type="dxa"/>
            <w:tcMar>
              <w:top w:w="17" w:type="dxa"/>
              <w:left w:w="17" w:type="dxa"/>
              <w:bottom w:w="0" w:type="dxa"/>
              <w:right w:w="17" w:type="dxa"/>
            </w:tcMar>
            <w:vAlign w:val="center"/>
          </w:tcPr>
          <w:p w:rsidR="005C6ABF" w:rsidRPr="006B0EEE" w:rsidRDefault="005C6ABF" w:rsidP="00CA1631">
            <w:pPr>
              <w:rPr>
                <w:rFonts w:eastAsia="Arial Unicode MS"/>
                <w:sz w:val="20"/>
                <w:szCs w:val="20"/>
              </w:rPr>
            </w:pPr>
            <w:r w:rsidRPr="006B0EEE">
              <w:rPr>
                <w:sz w:val="20"/>
                <w:szCs w:val="20"/>
              </w:rPr>
              <w:t>Матеріали, що потрібні для виконання зазначених робіт (БЕЗ ЗАЗНАЧЕННЯ НАЗВ МОДЕЛЕЙ ТА ВИРОБНИКІВ)</w:t>
            </w:r>
          </w:p>
        </w:tc>
        <w:tc>
          <w:tcPr>
            <w:tcW w:w="1666" w:type="dxa"/>
            <w:tcMar>
              <w:top w:w="17" w:type="dxa"/>
              <w:left w:w="17" w:type="dxa"/>
              <w:bottom w:w="0" w:type="dxa"/>
              <w:right w:w="17" w:type="dxa"/>
            </w:tcMar>
            <w:vAlign w:val="center"/>
          </w:tcPr>
          <w:p w:rsidR="005C6ABF" w:rsidRPr="006B0EEE" w:rsidRDefault="005C6ABF" w:rsidP="00CA1631">
            <w:pPr>
              <w:jc w:val="center"/>
              <w:rPr>
                <w:rFonts w:eastAsia="Arial Unicode MS"/>
                <w:sz w:val="20"/>
                <w:szCs w:val="20"/>
              </w:rPr>
            </w:pPr>
            <w:r w:rsidRPr="006B0EEE">
              <w:rPr>
                <w:sz w:val="20"/>
                <w:szCs w:val="20"/>
              </w:rPr>
              <w:t>Державні стандарти наведених матеріалів (</w:t>
            </w:r>
            <w:proofErr w:type="spellStart"/>
            <w:r w:rsidRPr="006B0EEE">
              <w:rPr>
                <w:sz w:val="20"/>
                <w:szCs w:val="20"/>
              </w:rPr>
              <w:t>ГОСТи</w:t>
            </w:r>
            <w:proofErr w:type="spellEnd"/>
            <w:r w:rsidRPr="006B0EEE">
              <w:rPr>
                <w:sz w:val="20"/>
                <w:szCs w:val="20"/>
              </w:rPr>
              <w:t>, ДСТУ)</w:t>
            </w:r>
          </w:p>
        </w:tc>
        <w:tc>
          <w:tcPr>
            <w:tcW w:w="2097" w:type="dxa"/>
            <w:tcMar>
              <w:top w:w="17" w:type="dxa"/>
              <w:left w:w="17" w:type="dxa"/>
              <w:bottom w:w="0" w:type="dxa"/>
              <w:right w:w="17" w:type="dxa"/>
            </w:tcMar>
            <w:vAlign w:val="center"/>
          </w:tcPr>
          <w:p w:rsidR="005C6ABF" w:rsidRPr="006B0EEE" w:rsidRDefault="005C6ABF" w:rsidP="00CA1631">
            <w:pPr>
              <w:rPr>
                <w:rFonts w:eastAsia="Arial Unicode MS"/>
                <w:sz w:val="20"/>
                <w:szCs w:val="20"/>
              </w:rPr>
            </w:pPr>
            <w:r w:rsidRPr="006B0EEE">
              <w:rPr>
                <w:sz w:val="20"/>
                <w:szCs w:val="20"/>
              </w:rPr>
              <w:t>Додаткова інформація щодо робіт та матеріалів, наведених у відповідних колонках.  Вказуються конкретні технічні характеристики та робочі параметри.</w:t>
            </w:r>
          </w:p>
        </w:tc>
      </w:tr>
      <w:tr w:rsidR="005C6ABF" w:rsidRPr="006B0EEE" w:rsidTr="00CA1631">
        <w:trPr>
          <w:trHeight w:val="1005"/>
        </w:trPr>
        <w:tc>
          <w:tcPr>
            <w:tcW w:w="393" w:type="dxa"/>
            <w:tcMar>
              <w:top w:w="17" w:type="dxa"/>
              <w:left w:w="17" w:type="dxa"/>
              <w:bottom w:w="0" w:type="dxa"/>
              <w:right w:w="17" w:type="dxa"/>
            </w:tcMar>
            <w:vAlign w:val="center"/>
          </w:tcPr>
          <w:p w:rsidR="005C6ABF" w:rsidRPr="006B0EEE" w:rsidRDefault="005C6ABF" w:rsidP="00CA1631">
            <w:pPr>
              <w:jc w:val="center"/>
              <w:rPr>
                <w:rFonts w:eastAsia="Arial Unicode MS"/>
                <w:sz w:val="22"/>
                <w:szCs w:val="22"/>
              </w:rPr>
            </w:pPr>
          </w:p>
        </w:tc>
        <w:tc>
          <w:tcPr>
            <w:tcW w:w="2864" w:type="dxa"/>
            <w:tcMar>
              <w:top w:w="17" w:type="dxa"/>
              <w:left w:w="17" w:type="dxa"/>
              <w:bottom w:w="0" w:type="dxa"/>
              <w:right w:w="17" w:type="dxa"/>
            </w:tcMar>
            <w:vAlign w:val="center"/>
          </w:tcPr>
          <w:p w:rsidR="005C6ABF" w:rsidRDefault="005C6ABF" w:rsidP="00CA1631">
            <w:pPr>
              <w:rPr>
                <w:sz w:val="16"/>
                <w:szCs w:val="16"/>
              </w:rPr>
            </w:pPr>
          </w:p>
        </w:tc>
        <w:tc>
          <w:tcPr>
            <w:tcW w:w="2537" w:type="dxa"/>
            <w:tcMar>
              <w:top w:w="17" w:type="dxa"/>
              <w:left w:w="17" w:type="dxa"/>
              <w:bottom w:w="0" w:type="dxa"/>
              <w:right w:w="17" w:type="dxa"/>
            </w:tcMar>
            <w:vAlign w:val="center"/>
          </w:tcPr>
          <w:p w:rsidR="005C6ABF" w:rsidRPr="006B0EEE" w:rsidRDefault="005C6ABF" w:rsidP="00CA1631">
            <w:pPr>
              <w:rPr>
                <w:sz w:val="20"/>
                <w:szCs w:val="20"/>
              </w:rPr>
            </w:pPr>
          </w:p>
        </w:tc>
        <w:tc>
          <w:tcPr>
            <w:tcW w:w="1666" w:type="dxa"/>
            <w:tcMar>
              <w:top w:w="17" w:type="dxa"/>
              <w:left w:w="17" w:type="dxa"/>
              <w:bottom w:w="0" w:type="dxa"/>
              <w:right w:w="17" w:type="dxa"/>
            </w:tcMar>
            <w:vAlign w:val="center"/>
          </w:tcPr>
          <w:p w:rsidR="005C6ABF" w:rsidRPr="006B0EEE" w:rsidRDefault="005C6ABF" w:rsidP="00CA1631">
            <w:pPr>
              <w:jc w:val="center"/>
              <w:rPr>
                <w:sz w:val="20"/>
                <w:szCs w:val="20"/>
              </w:rPr>
            </w:pPr>
          </w:p>
        </w:tc>
        <w:tc>
          <w:tcPr>
            <w:tcW w:w="2097" w:type="dxa"/>
            <w:tcMar>
              <w:top w:w="17" w:type="dxa"/>
              <w:left w:w="17" w:type="dxa"/>
              <w:bottom w:w="0" w:type="dxa"/>
              <w:right w:w="17" w:type="dxa"/>
            </w:tcMar>
            <w:vAlign w:val="center"/>
          </w:tcPr>
          <w:p w:rsidR="005C6ABF" w:rsidRPr="006B0EEE" w:rsidRDefault="005C6ABF" w:rsidP="00CA1631">
            <w:pPr>
              <w:rPr>
                <w:sz w:val="20"/>
                <w:szCs w:val="20"/>
              </w:rPr>
            </w:pPr>
          </w:p>
        </w:tc>
      </w:tr>
    </w:tbl>
    <w:p w:rsidR="005C6ABF" w:rsidRPr="006B0EEE" w:rsidRDefault="005C6ABF" w:rsidP="005C6ABF">
      <w:pPr>
        <w:rPr>
          <w:b/>
          <w:bCs/>
          <w:sz w:val="22"/>
          <w:szCs w:val="22"/>
        </w:rPr>
      </w:pPr>
      <w:r w:rsidRPr="006B0EEE">
        <w:rPr>
          <w:b/>
          <w:bCs/>
          <w:sz w:val="22"/>
          <w:szCs w:val="22"/>
        </w:rPr>
        <w:t xml:space="preserve">    «Погоджено»</w:t>
      </w:r>
    </w:p>
    <w:p w:rsidR="005C6ABF" w:rsidRPr="006B0EEE" w:rsidRDefault="005C6ABF" w:rsidP="005C6ABF">
      <w:pPr>
        <w:rPr>
          <w:bCs/>
          <w:sz w:val="22"/>
          <w:szCs w:val="22"/>
        </w:rPr>
      </w:pPr>
      <w:r w:rsidRPr="006B0EEE">
        <w:rPr>
          <w:bCs/>
          <w:sz w:val="22"/>
          <w:szCs w:val="22"/>
        </w:rPr>
        <w:t xml:space="preserve">Посада та  прізвище уповноваженого представника організації </w:t>
      </w:r>
    </w:p>
    <w:p w:rsidR="005C6ABF" w:rsidRPr="006B0EEE" w:rsidRDefault="005C6ABF" w:rsidP="005C6ABF">
      <w:pPr>
        <w:rPr>
          <w:bCs/>
          <w:sz w:val="22"/>
          <w:szCs w:val="22"/>
        </w:rPr>
      </w:pPr>
      <w:r w:rsidRPr="006B0EEE">
        <w:rPr>
          <w:bCs/>
          <w:sz w:val="22"/>
          <w:szCs w:val="22"/>
        </w:rPr>
        <w:t>учасника конкурсу що надає тендерну пропозицію:</w:t>
      </w:r>
    </w:p>
    <w:tbl>
      <w:tblPr>
        <w:tblW w:w="9677" w:type="dxa"/>
        <w:tblInd w:w="-4" w:type="dxa"/>
        <w:tblLayout w:type="fixed"/>
        <w:tblCellMar>
          <w:left w:w="0" w:type="dxa"/>
          <w:right w:w="0" w:type="dxa"/>
        </w:tblCellMar>
        <w:tblLook w:val="0000" w:firstRow="0" w:lastRow="0" w:firstColumn="0" w:lastColumn="0" w:noHBand="0" w:noVBand="0"/>
      </w:tblPr>
      <w:tblGrid>
        <w:gridCol w:w="1618"/>
        <w:gridCol w:w="957"/>
        <w:gridCol w:w="1625"/>
        <w:gridCol w:w="5477"/>
      </w:tblGrid>
      <w:tr w:rsidR="005C6ABF" w:rsidRPr="006B0EEE" w:rsidTr="00CA1631">
        <w:trPr>
          <w:cantSplit/>
          <w:trHeight w:val="255"/>
        </w:trPr>
        <w:tc>
          <w:tcPr>
            <w:tcW w:w="1618" w:type="dxa"/>
            <w:tcBorders>
              <w:top w:val="nil"/>
              <w:left w:val="nil"/>
              <w:right w:val="nil"/>
            </w:tcBorders>
            <w:tcMar>
              <w:top w:w="13" w:type="dxa"/>
              <w:left w:w="13" w:type="dxa"/>
              <w:bottom w:w="0" w:type="dxa"/>
              <w:right w:w="13" w:type="dxa"/>
            </w:tcMar>
            <w:vAlign w:val="center"/>
          </w:tcPr>
          <w:p w:rsidR="005C6ABF" w:rsidRPr="006B0EEE" w:rsidRDefault="005C6ABF" w:rsidP="00CA1631">
            <w:pPr>
              <w:jc w:val="center"/>
              <w:rPr>
                <w:rFonts w:eastAsia="Arial Unicode MS"/>
                <w:bCs/>
                <w:sz w:val="22"/>
                <w:szCs w:val="22"/>
              </w:rPr>
            </w:pPr>
            <w:r w:rsidRPr="006B0EEE">
              <w:rPr>
                <w:bCs/>
                <w:sz w:val="22"/>
                <w:szCs w:val="22"/>
              </w:rPr>
              <w:t>М.П.</w:t>
            </w:r>
          </w:p>
        </w:tc>
        <w:tc>
          <w:tcPr>
            <w:tcW w:w="957" w:type="dxa"/>
            <w:tcBorders>
              <w:top w:val="nil"/>
              <w:left w:val="nil"/>
              <w:right w:val="nil"/>
            </w:tcBorders>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1625" w:type="dxa"/>
            <w:tcBorders>
              <w:top w:val="nil"/>
              <w:left w:val="nil"/>
              <w:right w:val="nil"/>
            </w:tcBorders>
            <w:noWrap/>
            <w:tcMar>
              <w:top w:w="13" w:type="dxa"/>
              <w:left w:w="13" w:type="dxa"/>
              <w:bottom w:w="0" w:type="dxa"/>
              <w:right w:w="13" w:type="dxa"/>
            </w:tcMar>
            <w:vAlign w:val="bottom"/>
          </w:tcPr>
          <w:p w:rsidR="005C6ABF" w:rsidRPr="006B0EEE" w:rsidRDefault="005C6ABF" w:rsidP="00CA1631">
            <w:pPr>
              <w:jc w:val="center"/>
              <w:rPr>
                <w:rFonts w:eastAsia="Arial Unicode MS"/>
                <w:bCs/>
                <w:sz w:val="22"/>
                <w:szCs w:val="22"/>
              </w:rPr>
            </w:pPr>
            <w:r w:rsidRPr="006B0EEE">
              <w:rPr>
                <w:bCs/>
                <w:sz w:val="22"/>
                <w:szCs w:val="22"/>
              </w:rPr>
              <w:t>Підпис:</w:t>
            </w:r>
          </w:p>
        </w:tc>
        <w:tc>
          <w:tcPr>
            <w:tcW w:w="5477" w:type="dxa"/>
            <w:tcBorders>
              <w:top w:val="nil"/>
              <w:left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r w:rsidRPr="006B0EEE">
              <w:rPr>
                <w:sz w:val="22"/>
                <w:szCs w:val="22"/>
              </w:rPr>
              <w:t> ________________________________________ </w:t>
            </w:r>
          </w:p>
        </w:tc>
      </w:tr>
    </w:tbl>
    <w:p w:rsidR="005C6ABF" w:rsidRPr="006B0EEE" w:rsidRDefault="005C6ABF" w:rsidP="005C6ABF">
      <w:pPr>
        <w:rPr>
          <w:bCs/>
          <w:sz w:val="22"/>
          <w:szCs w:val="22"/>
        </w:rPr>
      </w:pPr>
    </w:p>
    <w:tbl>
      <w:tblPr>
        <w:tblW w:w="9677" w:type="dxa"/>
        <w:tblInd w:w="-4" w:type="dxa"/>
        <w:tblLayout w:type="fixed"/>
        <w:tblCellMar>
          <w:left w:w="0" w:type="dxa"/>
          <w:right w:w="0" w:type="dxa"/>
        </w:tblCellMar>
        <w:tblLook w:val="0000" w:firstRow="0" w:lastRow="0" w:firstColumn="0" w:lastColumn="0" w:noHBand="0" w:noVBand="0"/>
      </w:tblPr>
      <w:tblGrid>
        <w:gridCol w:w="1813"/>
        <w:gridCol w:w="1640"/>
        <w:gridCol w:w="3940"/>
        <w:gridCol w:w="360"/>
        <w:gridCol w:w="1924"/>
      </w:tblGrid>
      <w:tr w:rsidR="005C6ABF" w:rsidRPr="006B0EEE" w:rsidTr="00CA1631">
        <w:trPr>
          <w:cantSplit/>
          <w:trHeight w:val="402"/>
        </w:trPr>
        <w:tc>
          <w:tcPr>
            <w:tcW w:w="9677" w:type="dxa"/>
            <w:gridSpan w:val="5"/>
            <w:tcBorders>
              <w:top w:val="nil"/>
              <w:left w:val="nil"/>
              <w:bottom w:val="nil"/>
              <w:right w:val="nil"/>
            </w:tcBorders>
            <w:noWrap/>
            <w:tcMar>
              <w:top w:w="13" w:type="dxa"/>
              <w:left w:w="13" w:type="dxa"/>
              <w:bottom w:w="0" w:type="dxa"/>
              <w:right w:w="13" w:type="dxa"/>
            </w:tcMar>
            <w:vAlign w:val="bottom"/>
          </w:tcPr>
          <w:p w:rsidR="005C6ABF" w:rsidRPr="006B0EEE" w:rsidRDefault="005C6ABF" w:rsidP="00CA1631">
            <w:pPr>
              <w:spacing w:before="240" w:after="120"/>
              <w:jc w:val="center"/>
              <w:rPr>
                <w:b/>
                <w:bCs/>
                <w:sz w:val="22"/>
                <w:szCs w:val="22"/>
              </w:rPr>
            </w:pPr>
            <w:r w:rsidRPr="006B0EEE">
              <w:rPr>
                <w:rFonts w:eastAsia="Arial Unicode MS"/>
                <w:b/>
                <w:bCs/>
                <w:sz w:val="22"/>
                <w:szCs w:val="22"/>
              </w:rPr>
              <w:t xml:space="preserve">Розділ 5. </w:t>
            </w:r>
            <w:r w:rsidRPr="006B0EEE">
              <w:rPr>
                <w:b/>
                <w:bCs/>
                <w:sz w:val="22"/>
                <w:szCs w:val="22"/>
              </w:rPr>
              <w:t xml:space="preserve">ЦІНОВА ПРОПОЗИЦІЯ УЧАСНИКА  КОНКУРСУ </w:t>
            </w:r>
          </w:p>
          <w:p w:rsidR="005C6ABF" w:rsidRPr="006B0EEE" w:rsidRDefault="005C6ABF" w:rsidP="00CA1631">
            <w:pPr>
              <w:jc w:val="center"/>
              <w:rPr>
                <w:rFonts w:eastAsia="Arial Unicode MS"/>
                <w:bCs/>
                <w:sz w:val="22"/>
                <w:szCs w:val="22"/>
              </w:rPr>
            </w:pPr>
            <w:r w:rsidRPr="006B0EEE">
              <w:rPr>
                <w:bCs/>
                <w:sz w:val="22"/>
                <w:szCs w:val="22"/>
              </w:rPr>
              <w:t>(ВІДОМІСТЬ РОБІТ, ОСНОВНИХ МАТЕРІАЛІВ ТА СПЕЦІАЛІЗОВАНОГО ОБЛАДНАННЯ)</w:t>
            </w:r>
          </w:p>
        </w:tc>
      </w:tr>
      <w:tr w:rsidR="005C6ABF" w:rsidRPr="006B0EEE" w:rsidTr="00CA1631">
        <w:trPr>
          <w:cantSplit/>
          <w:trHeight w:val="402"/>
        </w:trPr>
        <w:tc>
          <w:tcPr>
            <w:tcW w:w="1813" w:type="dxa"/>
            <w:tcBorders>
              <w:top w:val="nil"/>
              <w:left w:val="nil"/>
              <w:bottom w:val="nil"/>
              <w:right w:val="single" w:sz="18" w:space="0" w:color="auto"/>
            </w:tcBorders>
            <w:noWrap/>
            <w:vAlign w:val="bottom"/>
          </w:tcPr>
          <w:p w:rsidR="005C6ABF" w:rsidRPr="006B0EEE" w:rsidRDefault="005C6ABF" w:rsidP="00CA1631">
            <w:pPr>
              <w:rPr>
                <w:rFonts w:eastAsia="Arial Unicode MS"/>
                <w:b/>
                <w:bCs/>
                <w:sz w:val="22"/>
                <w:szCs w:val="22"/>
              </w:rPr>
            </w:pPr>
          </w:p>
        </w:tc>
        <w:tc>
          <w:tcPr>
            <w:tcW w:w="5940" w:type="dxa"/>
            <w:gridSpan w:val="3"/>
            <w:tcBorders>
              <w:top w:val="single" w:sz="18" w:space="0" w:color="auto"/>
              <w:left w:val="single" w:sz="18" w:space="0" w:color="auto"/>
              <w:bottom w:val="single" w:sz="18" w:space="0" w:color="auto"/>
              <w:right w:val="single" w:sz="18" w:space="0" w:color="auto"/>
            </w:tcBorders>
            <w:noWrap/>
            <w:tcMar>
              <w:top w:w="13" w:type="dxa"/>
              <w:left w:w="13" w:type="dxa"/>
              <w:bottom w:w="0" w:type="dxa"/>
              <w:right w:w="13" w:type="dxa"/>
            </w:tcMar>
            <w:vAlign w:val="center"/>
          </w:tcPr>
          <w:p w:rsidR="005C6ABF" w:rsidRPr="006B0EEE" w:rsidRDefault="005C6ABF" w:rsidP="00CA1631">
            <w:pPr>
              <w:rPr>
                <w:rFonts w:eastAsia="Arial Unicode MS"/>
                <w:b/>
                <w:bCs/>
                <w:sz w:val="22"/>
                <w:szCs w:val="22"/>
              </w:rPr>
            </w:pPr>
          </w:p>
        </w:tc>
        <w:tc>
          <w:tcPr>
            <w:tcW w:w="1924" w:type="dxa"/>
            <w:tcBorders>
              <w:top w:val="nil"/>
              <w:left w:val="single" w:sz="18" w:space="0" w:color="auto"/>
              <w:bottom w:val="nil"/>
              <w:right w:val="nil"/>
            </w:tcBorders>
            <w:noWrap/>
            <w:tcMar>
              <w:top w:w="13" w:type="dxa"/>
              <w:left w:w="13" w:type="dxa"/>
              <w:bottom w:w="0" w:type="dxa"/>
              <w:right w:w="13" w:type="dxa"/>
            </w:tcMar>
            <w:vAlign w:val="center"/>
          </w:tcPr>
          <w:p w:rsidR="005C6ABF" w:rsidRPr="006B0EEE" w:rsidRDefault="005C6ABF" w:rsidP="00CA1631">
            <w:pPr>
              <w:rPr>
                <w:rFonts w:eastAsia="Arial Unicode MS"/>
                <w:b/>
                <w:bCs/>
                <w:sz w:val="22"/>
                <w:szCs w:val="22"/>
              </w:rPr>
            </w:pPr>
          </w:p>
        </w:tc>
      </w:tr>
      <w:tr w:rsidR="005C6ABF" w:rsidRPr="006B0EEE" w:rsidTr="00CA1631">
        <w:trPr>
          <w:cantSplit/>
          <w:trHeight w:val="285"/>
        </w:trPr>
        <w:tc>
          <w:tcPr>
            <w:tcW w:w="9677" w:type="dxa"/>
            <w:gridSpan w:val="5"/>
            <w:tcBorders>
              <w:top w:val="nil"/>
              <w:left w:val="nil"/>
              <w:bottom w:val="nil"/>
              <w:right w:val="nil"/>
            </w:tcBorders>
            <w:noWrap/>
            <w:vAlign w:val="bottom"/>
          </w:tcPr>
          <w:p w:rsidR="005C6ABF" w:rsidRPr="006B0EEE" w:rsidRDefault="005C6ABF" w:rsidP="00CA1631">
            <w:pPr>
              <w:jc w:val="center"/>
              <w:rPr>
                <w:b/>
                <w:bCs/>
                <w:sz w:val="22"/>
                <w:szCs w:val="22"/>
              </w:rPr>
            </w:pPr>
            <w:r w:rsidRPr="006B0EEE">
              <w:rPr>
                <w:b/>
                <w:bCs/>
                <w:sz w:val="22"/>
                <w:szCs w:val="22"/>
              </w:rPr>
              <w:t>(назва організації учасника конкурсу)</w:t>
            </w:r>
          </w:p>
          <w:p w:rsidR="005C6ABF" w:rsidRPr="006B0EEE" w:rsidRDefault="005C6ABF" w:rsidP="00CA1631">
            <w:pPr>
              <w:jc w:val="center"/>
              <w:rPr>
                <w:rFonts w:eastAsia="Arial Unicode MS"/>
                <w:b/>
                <w:bCs/>
                <w:sz w:val="22"/>
                <w:szCs w:val="22"/>
              </w:rPr>
            </w:pPr>
          </w:p>
        </w:tc>
      </w:tr>
      <w:tr w:rsidR="005C6ABF" w:rsidRPr="006B0EEE" w:rsidTr="00CA1631">
        <w:trPr>
          <w:trHeight w:val="461"/>
        </w:trPr>
        <w:tc>
          <w:tcPr>
            <w:tcW w:w="9677" w:type="dxa"/>
            <w:gridSpan w:val="5"/>
            <w:tcBorders>
              <w:top w:val="nil"/>
              <w:left w:val="nil"/>
              <w:bottom w:val="nil"/>
              <w:right w:val="nil"/>
            </w:tcBorders>
            <w:tcMar>
              <w:top w:w="13" w:type="dxa"/>
              <w:left w:w="13" w:type="dxa"/>
              <w:bottom w:w="0" w:type="dxa"/>
              <w:right w:w="13" w:type="dxa"/>
            </w:tcMar>
            <w:vAlign w:val="bottom"/>
          </w:tcPr>
          <w:p w:rsidR="005C6ABF" w:rsidRPr="006B0EEE" w:rsidRDefault="005C6ABF" w:rsidP="00CA1631">
            <w:pPr>
              <w:rPr>
                <w:rFonts w:eastAsia="Arial Unicode MS"/>
                <w:b/>
                <w:bCs/>
                <w:sz w:val="22"/>
                <w:szCs w:val="22"/>
              </w:rPr>
            </w:pPr>
            <w:r w:rsidRPr="006B0EEE">
              <w:rPr>
                <w:b/>
                <w:bCs/>
                <w:sz w:val="22"/>
                <w:szCs w:val="22"/>
              </w:rPr>
              <w:t>Замовник:</w:t>
            </w:r>
            <w:r w:rsidRPr="006B0EEE">
              <w:rPr>
                <w:bCs/>
                <w:sz w:val="22"/>
                <w:szCs w:val="22"/>
              </w:rPr>
              <w:t xml:space="preserve">       Організація громади  «</w:t>
            </w:r>
            <w:r w:rsidRPr="00C7076F">
              <w:rPr>
                <w:bCs/>
                <w:sz w:val="22"/>
                <w:szCs w:val="22"/>
                <w:highlight w:val="lightGray"/>
                <w:u w:val="single"/>
              </w:rPr>
              <w:t>вказати назву ОГ</w:t>
            </w:r>
            <w:r w:rsidRPr="006B0EEE">
              <w:rPr>
                <w:bCs/>
                <w:sz w:val="22"/>
                <w:szCs w:val="22"/>
              </w:rPr>
              <w:t>»,  «</w:t>
            </w:r>
            <w:r w:rsidRPr="00C7076F">
              <w:rPr>
                <w:bCs/>
                <w:sz w:val="22"/>
                <w:szCs w:val="22"/>
                <w:highlight w:val="lightGray"/>
                <w:u w:val="single"/>
              </w:rPr>
              <w:t>вказати</w:t>
            </w:r>
            <w:r w:rsidRPr="006B0EEE">
              <w:rPr>
                <w:bCs/>
                <w:sz w:val="22"/>
                <w:szCs w:val="22"/>
                <w:u w:val="single"/>
              </w:rPr>
              <w:t xml:space="preserve"> </w:t>
            </w:r>
            <w:r w:rsidRPr="006B0EEE">
              <w:rPr>
                <w:bCs/>
                <w:sz w:val="22"/>
                <w:szCs w:val="22"/>
                <w:u w:val="single"/>
              </w:rPr>
              <w:fldChar w:fldCharType="begin">
                <w:ffData>
                  <w:name w:val="ТекстовоеПоле48"/>
                  <w:enabled/>
                  <w:calcOnExit w:val="0"/>
                  <w:textInput>
                    <w:default w:val="назва МП"/>
                  </w:textInput>
                </w:ffData>
              </w:fldChar>
            </w:r>
            <w:r w:rsidRPr="006B0EEE">
              <w:rPr>
                <w:bCs/>
                <w:sz w:val="22"/>
                <w:szCs w:val="22"/>
                <w:u w:val="single"/>
              </w:rPr>
              <w:instrText xml:space="preserve"> FORMTEXT </w:instrText>
            </w:r>
            <w:r w:rsidRPr="006B0EEE">
              <w:rPr>
                <w:bCs/>
                <w:sz w:val="22"/>
                <w:szCs w:val="22"/>
                <w:u w:val="single"/>
              </w:rPr>
            </w:r>
            <w:r w:rsidRPr="006B0EEE">
              <w:rPr>
                <w:bCs/>
                <w:sz w:val="22"/>
                <w:szCs w:val="22"/>
                <w:u w:val="single"/>
              </w:rPr>
              <w:fldChar w:fldCharType="separate"/>
            </w:r>
            <w:r>
              <w:rPr>
                <w:bCs/>
                <w:noProof/>
                <w:sz w:val="22"/>
                <w:szCs w:val="22"/>
                <w:u w:val="single"/>
              </w:rPr>
              <w:t>назва МП</w:t>
            </w:r>
            <w:r w:rsidRPr="006B0EEE">
              <w:rPr>
                <w:bCs/>
                <w:sz w:val="22"/>
                <w:szCs w:val="22"/>
                <w:u w:val="single"/>
              </w:rPr>
              <w:fldChar w:fldCharType="end"/>
            </w:r>
            <w:r w:rsidRPr="006B0EEE">
              <w:rPr>
                <w:bCs/>
                <w:sz w:val="22"/>
                <w:szCs w:val="22"/>
              </w:rPr>
              <w:t xml:space="preserve">», спільно з </w:t>
            </w:r>
            <w:r>
              <w:rPr>
                <w:sz w:val="22"/>
                <w:szCs w:val="22"/>
              </w:rPr>
              <w:t xml:space="preserve">Програмою розвитку ООН (Проект </w:t>
            </w:r>
            <w:r w:rsidRPr="006B0EEE">
              <w:rPr>
                <w:sz w:val="22"/>
                <w:szCs w:val="22"/>
              </w:rPr>
              <w:t>«</w:t>
            </w:r>
            <w:r>
              <w:rPr>
                <w:sz w:val="22"/>
                <w:szCs w:val="22"/>
              </w:rPr>
              <w:t>Верховенство права та правосуддя на рівні громад у районах України, постраждалих від конфлікту</w:t>
            </w:r>
            <w:r w:rsidRPr="006B0EEE">
              <w:rPr>
                <w:sz w:val="22"/>
                <w:szCs w:val="22"/>
              </w:rPr>
              <w:t>»</w:t>
            </w:r>
            <w:r>
              <w:rPr>
                <w:sz w:val="22"/>
                <w:szCs w:val="22"/>
              </w:rPr>
              <w:t>)</w:t>
            </w:r>
          </w:p>
        </w:tc>
      </w:tr>
      <w:tr w:rsidR="005C6ABF" w:rsidRPr="006B0EEE" w:rsidTr="00CA1631">
        <w:trPr>
          <w:trHeight w:val="495"/>
        </w:trPr>
        <w:tc>
          <w:tcPr>
            <w:tcW w:w="9677" w:type="dxa"/>
            <w:gridSpan w:val="5"/>
            <w:tcBorders>
              <w:top w:val="nil"/>
              <w:left w:val="nil"/>
              <w:bottom w:val="nil"/>
              <w:right w:val="nil"/>
            </w:tcBorders>
            <w:tcMar>
              <w:top w:w="13" w:type="dxa"/>
              <w:left w:w="13" w:type="dxa"/>
              <w:bottom w:w="0" w:type="dxa"/>
              <w:right w:w="13" w:type="dxa"/>
            </w:tcMar>
            <w:vAlign w:val="center"/>
          </w:tcPr>
          <w:p w:rsidR="005C6ABF" w:rsidRPr="006B0EEE" w:rsidRDefault="005C6ABF" w:rsidP="00CA1631">
            <w:pPr>
              <w:rPr>
                <w:rFonts w:eastAsia="Arial Unicode MS"/>
                <w:sz w:val="22"/>
                <w:szCs w:val="22"/>
              </w:rPr>
            </w:pPr>
            <w:r w:rsidRPr="006B0EEE">
              <w:rPr>
                <w:b/>
                <w:bCs/>
                <w:sz w:val="22"/>
                <w:szCs w:val="22"/>
              </w:rPr>
              <w:t>Об'єкт</w:t>
            </w:r>
            <w:r w:rsidRPr="006B0EEE">
              <w:rPr>
                <w:bCs/>
                <w:sz w:val="22"/>
                <w:szCs w:val="22"/>
              </w:rPr>
              <w:t>:   «</w:t>
            </w:r>
            <w:r w:rsidRPr="00C7076F">
              <w:rPr>
                <w:bCs/>
                <w:sz w:val="22"/>
                <w:szCs w:val="22"/>
                <w:highlight w:val="lightGray"/>
                <w:u w:val="single"/>
              </w:rPr>
              <w:t>вказати назву об’єкту</w:t>
            </w:r>
            <w:r w:rsidRPr="006B0EEE">
              <w:rPr>
                <w:bCs/>
                <w:sz w:val="22"/>
                <w:szCs w:val="22"/>
              </w:rPr>
              <w:t>» , розташован</w:t>
            </w:r>
            <w:r w:rsidRPr="006B0EEE">
              <w:rPr>
                <w:bCs/>
                <w:sz w:val="22"/>
                <w:szCs w:val="22"/>
              </w:rPr>
              <w:fldChar w:fldCharType="begin">
                <w:ffData>
                  <w:name w:val="ТекстовоеПоле51"/>
                  <w:enabled/>
                  <w:calcOnExit w:val="0"/>
                  <w:textInput>
                    <w:default w:val="а/ий"/>
                  </w:textInput>
                </w:ffData>
              </w:fldChar>
            </w:r>
            <w:bookmarkStart w:id="1" w:name="ТекстовоеПоле51"/>
            <w:r w:rsidRPr="006B0EEE">
              <w:rPr>
                <w:bCs/>
                <w:sz w:val="22"/>
                <w:szCs w:val="22"/>
              </w:rPr>
              <w:instrText xml:space="preserve"> FORMTEXT </w:instrText>
            </w:r>
            <w:r w:rsidRPr="006B0EEE">
              <w:rPr>
                <w:bCs/>
                <w:sz w:val="22"/>
                <w:szCs w:val="22"/>
              </w:rPr>
            </w:r>
            <w:r w:rsidRPr="006B0EEE">
              <w:rPr>
                <w:bCs/>
                <w:sz w:val="22"/>
                <w:szCs w:val="22"/>
              </w:rPr>
              <w:fldChar w:fldCharType="separate"/>
            </w:r>
            <w:r>
              <w:rPr>
                <w:bCs/>
                <w:noProof/>
                <w:sz w:val="22"/>
                <w:szCs w:val="22"/>
              </w:rPr>
              <w:t>а/ий</w:t>
            </w:r>
            <w:r w:rsidRPr="006B0EEE">
              <w:rPr>
                <w:bCs/>
                <w:sz w:val="22"/>
                <w:szCs w:val="22"/>
              </w:rPr>
              <w:fldChar w:fldCharType="end"/>
            </w:r>
            <w:bookmarkEnd w:id="1"/>
            <w:r w:rsidRPr="006B0EEE">
              <w:rPr>
                <w:bCs/>
                <w:sz w:val="22"/>
                <w:szCs w:val="22"/>
              </w:rPr>
              <w:t xml:space="preserve"> за адресою</w:t>
            </w:r>
            <w:r>
              <w:rPr>
                <w:bCs/>
                <w:sz w:val="22"/>
                <w:szCs w:val="22"/>
              </w:rPr>
              <w:t>:</w:t>
            </w:r>
            <w:r w:rsidRPr="006B0EEE">
              <w:rPr>
                <w:bCs/>
                <w:sz w:val="22"/>
                <w:szCs w:val="22"/>
              </w:rPr>
              <w:t xml:space="preserve"> </w:t>
            </w:r>
            <w:r w:rsidRPr="00C7076F">
              <w:rPr>
                <w:bCs/>
                <w:sz w:val="22"/>
                <w:szCs w:val="22"/>
                <w:highlight w:val="lightGray"/>
                <w:u w:val="single"/>
              </w:rPr>
              <w:t>вказати адресу</w:t>
            </w:r>
            <w:r w:rsidRPr="006B0EEE">
              <w:rPr>
                <w:bCs/>
                <w:sz w:val="22"/>
                <w:szCs w:val="22"/>
              </w:rPr>
              <w:t>.</w:t>
            </w:r>
          </w:p>
        </w:tc>
      </w:tr>
      <w:tr w:rsidR="005C6ABF" w:rsidRPr="006B0EEE" w:rsidTr="00CA1631">
        <w:trPr>
          <w:cantSplit/>
          <w:trHeight w:val="450"/>
        </w:trPr>
        <w:tc>
          <w:tcPr>
            <w:tcW w:w="3453" w:type="dxa"/>
            <w:gridSpan w:val="2"/>
            <w:vMerge w:val="restart"/>
            <w:tcBorders>
              <w:top w:val="nil"/>
              <w:left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b/>
                <w:bCs/>
                <w:sz w:val="22"/>
                <w:szCs w:val="22"/>
              </w:rPr>
            </w:pPr>
          </w:p>
        </w:tc>
        <w:tc>
          <w:tcPr>
            <w:tcW w:w="3940" w:type="dxa"/>
            <w:tcBorders>
              <w:top w:val="nil"/>
              <w:left w:val="nil"/>
              <w:bottom w:val="nil"/>
              <w:right w:val="single" w:sz="18" w:space="0" w:color="auto"/>
            </w:tcBorders>
            <w:noWrap/>
            <w:tcMar>
              <w:top w:w="13" w:type="dxa"/>
              <w:left w:w="13" w:type="dxa"/>
              <w:bottom w:w="0" w:type="dxa"/>
              <w:right w:w="13" w:type="dxa"/>
            </w:tcMar>
            <w:vAlign w:val="bottom"/>
          </w:tcPr>
          <w:p w:rsidR="005C6ABF" w:rsidRPr="006B0EEE" w:rsidRDefault="005C6ABF" w:rsidP="00CA1631">
            <w:pPr>
              <w:rPr>
                <w:rFonts w:eastAsia="Arial Unicode MS"/>
                <w:b/>
                <w:bCs/>
                <w:sz w:val="22"/>
                <w:szCs w:val="22"/>
              </w:rPr>
            </w:pPr>
            <w:r w:rsidRPr="006B0EEE">
              <w:rPr>
                <w:b/>
                <w:bCs/>
                <w:sz w:val="22"/>
                <w:szCs w:val="22"/>
              </w:rPr>
              <w:t xml:space="preserve">Загальна вартість: </w:t>
            </w:r>
          </w:p>
        </w:tc>
        <w:tc>
          <w:tcPr>
            <w:tcW w:w="2284" w:type="dxa"/>
            <w:gridSpan w:val="2"/>
            <w:tcBorders>
              <w:top w:val="single" w:sz="18" w:space="0" w:color="auto"/>
              <w:left w:val="single" w:sz="18" w:space="0" w:color="auto"/>
              <w:bottom w:val="single" w:sz="18" w:space="0" w:color="auto"/>
              <w:right w:val="single" w:sz="18" w:space="0" w:color="auto"/>
            </w:tcBorders>
            <w:noWrap/>
            <w:tcMar>
              <w:top w:w="13" w:type="dxa"/>
              <w:left w:w="13" w:type="dxa"/>
              <w:bottom w:w="0" w:type="dxa"/>
              <w:right w:w="13" w:type="dxa"/>
            </w:tcMar>
            <w:vAlign w:val="bottom"/>
          </w:tcPr>
          <w:p w:rsidR="005C6ABF" w:rsidRPr="006B0EEE" w:rsidRDefault="005C6ABF" w:rsidP="00CA1631">
            <w:pPr>
              <w:jc w:val="center"/>
              <w:rPr>
                <w:rFonts w:eastAsia="Arial Unicode MS"/>
                <w:b/>
                <w:bCs/>
                <w:sz w:val="22"/>
                <w:szCs w:val="22"/>
              </w:rPr>
            </w:pPr>
          </w:p>
        </w:tc>
      </w:tr>
      <w:tr w:rsidR="005C6ABF" w:rsidRPr="006B0EEE" w:rsidTr="00CA1631">
        <w:trPr>
          <w:cantSplit/>
          <w:trHeight w:val="300"/>
        </w:trPr>
        <w:tc>
          <w:tcPr>
            <w:tcW w:w="3453" w:type="dxa"/>
            <w:gridSpan w:val="2"/>
            <w:vMerge/>
            <w:tcBorders>
              <w:left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b/>
                <w:bCs/>
                <w:sz w:val="22"/>
                <w:szCs w:val="22"/>
              </w:rPr>
            </w:pPr>
          </w:p>
        </w:tc>
        <w:tc>
          <w:tcPr>
            <w:tcW w:w="3940" w:type="dxa"/>
            <w:tcBorders>
              <w:top w:val="nil"/>
              <w:left w:val="nil"/>
              <w:right w:val="nil"/>
            </w:tcBorders>
            <w:noWrap/>
            <w:tcMar>
              <w:top w:w="13" w:type="dxa"/>
              <w:left w:w="13" w:type="dxa"/>
              <w:bottom w:w="0" w:type="dxa"/>
              <w:right w:w="13" w:type="dxa"/>
            </w:tcMar>
            <w:vAlign w:val="bottom"/>
          </w:tcPr>
          <w:p w:rsidR="005C6ABF" w:rsidRPr="006B0EEE" w:rsidRDefault="005C6ABF" w:rsidP="00CA1631">
            <w:pPr>
              <w:jc w:val="right"/>
              <w:rPr>
                <w:rFonts w:eastAsia="Arial Unicode MS"/>
                <w:b/>
                <w:bCs/>
                <w:sz w:val="22"/>
                <w:szCs w:val="22"/>
              </w:rPr>
            </w:pPr>
          </w:p>
        </w:tc>
        <w:tc>
          <w:tcPr>
            <w:tcW w:w="2284" w:type="dxa"/>
            <w:gridSpan w:val="2"/>
            <w:tcBorders>
              <w:top w:val="nil"/>
              <w:left w:val="nil"/>
              <w:right w:val="nil"/>
            </w:tcBorders>
            <w:noWrap/>
            <w:tcMar>
              <w:top w:w="13" w:type="dxa"/>
              <w:left w:w="13" w:type="dxa"/>
              <w:bottom w:w="0" w:type="dxa"/>
              <w:right w:w="13" w:type="dxa"/>
            </w:tcMar>
            <w:vAlign w:val="center"/>
          </w:tcPr>
          <w:p w:rsidR="005C6ABF" w:rsidRPr="006B0EEE" w:rsidRDefault="005C6ABF" w:rsidP="00CA1631">
            <w:pPr>
              <w:jc w:val="center"/>
              <w:rPr>
                <w:rFonts w:eastAsia="Arial Unicode MS"/>
                <w:b/>
                <w:bCs/>
                <w:sz w:val="22"/>
                <w:szCs w:val="22"/>
              </w:rPr>
            </w:pPr>
            <w:r w:rsidRPr="006B0EEE">
              <w:rPr>
                <w:b/>
                <w:bCs/>
                <w:sz w:val="22"/>
                <w:szCs w:val="22"/>
              </w:rPr>
              <w:t xml:space="preserve">     грн.</w:t>
            </w:r>
          </w:p>
        </w:tc>
      </w:tr>
      <w:tr w:rsidR="005C6ABF" w:rsidRPr="006B0EEE" w:rsidTr="00CA1631">
        <w:trPr>
          <w:cantSplit/>
          <w:trHeight w:val="300"/>
        </w:trPr>
        <w:tc>
          <w:tcPr>
            <w:tcW w:w="9677" w:type="dxa"/>
            <w:gridSpan w:val="5"/>
            <w:tcBorders>
              <w:left w:val="nil"/>
              <w:bottom w:val="nil"/>
              <w:right w:val="nil"/>
            </w:tcBorders>
            <w:shd w:val="clear" w:color="auto" w:fill="D9D9D9"/>
            <w:noWrap/>
            <w:tcMar>
              <w:top w:w="13" w:type="dxa"/>
              <w:left w:w="13" w:type="dxa"/>
              <w:bottom w:w="0" w:type="dxa"/>
              <w:right w:w="13" w:type="dxa"/>
            </w:tcMar>
            <w:vAlign w:val="bottom"/>
          </w:tcPr>
          <w:p w:rsidR="005C6ABF" w:rsidRPr="006B0EEE" w:rsidRDefault="005C6ABF" w:rsidP="00CA1631">
            <w:pPr>
              <w:jc w:val="center"/>
              <w:rPr>
                <w:b/>
                <w:bCs/>
                <w:sz w:val="22"/>
                <w:szCs w:val="22"/>
              </w:rPr>
            </w:pPr>
            <w:r w:rsidRPr="006B0EEE">
              <w:rPr>
                <w:b/>
                <w:sz w:val="22"/>
                <w:szCs w:val="22"/>
              </w:rPr>
              <w:t>ВАРТІСТЬ БУДЬ-ЯКИХ МАТЕРІАЛІВ/ОБЛАДНАННЯ ДЛЯ ВИКОНАННЯ НИЖЧЕ ВКАЗАНИХ РОБІТ, ЩО ЗАКУПОВУВАТИМУТЬСЯ ПІДРЯДНИКОМ, МАЄ БУТИ ВРАХОВАНА У ПІДГОТОВЦІ ЦІНОВОЇ ПРОПОЗИЦІЇ</w:t>
            </w:r>
          </w:p>
        </w:tc>
      </w:tr>
    </w:tbl>
    <w:p w:rsidR="005C6ABF" w:rsidRPr="006B0EEE" w:rsidRDefault="005C6ABF" w:rsidP="005C6ABF">
      <w:pPr>
        <w:rPr>
          <w:sz w:val="22"/>
          <w:szCs w:val="22"/>
        </w:rPr>
      </w:pPr>
    </w:p>
    <w:p w:rsidR="005C6ABF" w:rsidRPr="006B0EEE" w:rsidRDefault="005C6ABF" w:rsidP="005C6ABF">
      <w:pPr>
        <w:rPr>
          <w:sz w:val="22"/>
          <w:szCs w:val="22"/>
        </w:rPr>
      </w:pPr>
    </w:p>
    <w:tbl>
      <w:tblPr>
        <w:tblW w:w="8670" w:type="dxa"/>
        <w:tblLayout w:type="fixed"/>
        <w:tblCellMar>
          <w:left w:w="30" w:type="dxa"/>
          <w:right w:w="30" w:type="dxa"/>
        </w:tblCellMar>
        <w:tblLook w:val="0000" w:firstRow="0" w:lastRow="0" w:firstColumn="0" w:lastColumn="0" w:noHBand="0" w:noVBand="0"/>
      </w:tblPr>
      <w:tblGrid>
        <w:gridCol w:w="466"/>
        <w:gridCol w:w="1183"/>
        <w:gridCol w:w="3059"/>
        <w:gridCol w:w="1080"/>
        <w:gridCol w:w="720"/>
        <w:gridCol w:w="902"/>
        <w:gridCol w:w="1260"/>
      </w:tblGrid>
      <w:tr w:rsidR="005C6ABF" w:rsidRPr="006B0EEE" w:rsidTr="00CA1631">
        <w:trPr>
          <w:cantSplit/>
          <w:trHeight w:val="991"/>
        </w:trPr>
        <w:tc>
          <w:tcPr>
            <w:tcW w:w="467" w:type="dxa"/>
            <w:tcBorders>
              <w:top w:val="single" w:sz="12" w:space="0" w:color="auto"/>
              <w:left w:val="single" w:sz="12" w:space="0" w:color="auto"/>
              <w:bottom w:val="single" w:sz="6" w:space="0" w:color="auto"/>
              <w:right w:val="single" w:sz="6" w:space="0" w:color="auto"/>
            </w:tcBorders>
            <w:vAlign w:val="center"/>
          </w:tcPr>
          <w:p w:rsidR="005C6ABF" w:rsidRPr="006B0EEE" w:rsidRDefault="005C6ABF" w:rsidP="00CA1631">
            <w:pPr>
              <w:autoSpaceDE w:val="0"/>
              <w:autoSpaceDN w:val="0"/>
              <w:adjustRightInd w:val="0"/>
              <w:jc w:val="center"/>
              <w:rPr>
                <w:sz w:val="22"/>
                <w:szCs w:val="22"/>
              </w:rPr>
            </w:pPr>
            <w:r w:rsidRPr="006B0EEE">
              <w:rPr>
                <w:sz w:val="22"/>
                <w:szCs w:val="22"/>
              </w:rPr>
              <w:t>№ п/п</w:t>
            </w:r>
          </w:p>
        </w:tc>
        <w:tc>
          <w:tcPr>
            <w:tcW w:w="1183" w:type="dxa"/>
            <w:tcBorders>
              <w:top w:val="single" w:sz="12" w:space="0" w:color="auto"/>
              <w:left w:val="single" w:sz="6" w:space="0" w:color="auto"/>
              <w:bottom w:val="single" w:sz="6" w:space="0" w:color="auto"/>
              <w:right w:val="single" w:sz="6" w:space="0" w:color="auto"/>
            </w:tcBorders>
            <w:vAlign w:val="center"/>
          </w:tcPr>
          <w:p w:rsidR="005C6ABF" w:rsidRPr="006B0EEE" w:rsidRDefault="005C6ABF" w:rsidP="00CA1631">
            <w:pPr>
              <w:autoSpaceDE w:val="0"/>
              <w:autoSpaceDN w:val="0"/>
              <w:adjustRightInd w:val="0"/>
              <w:jc w:val="center"/>
              <w:rPr>
                <w:sz w:val="22"/>
                <w:szCs w:val="22"/>
              </w:rPr>
            </w:pPr>
            <w:r w:rsidRPr="006B0EEE">
              <w:rPr>
                <w:sz w:val="22"/>
                <w:szCs w:val="22"/>
              </w:rPr>
              <w:t>Шифр і  № позиції нормативу</w:t>
            </w:r>
          </w:p>
        </w:tc>
        <w:tc>
          <w:tcPr>
            <w:tcW w:w="3060" w:type="dxa"/>
            <w:tcBorders>
              <w:top w:val="single" w:sz="12" w:space="0" w:color="auto"/>
              <w:left w:val="single" w:sz="6" w:space="0" w:color="auto"/>
              <w:bottom w:val="single" w:sz="6" w:space="0" w:color="auto"/>
              <w:right w:val="single" w:sz="4" w:space="0" w:color="auto"/>
            </w:tcBorders>
            <w:vAlign w:val="center"/>
          </w:tcPr>
          <w:p w:rsidR="005C6ABF" w:rsidRPr="006B0EEE" w:rsidRDefault="005C6ABF" w:rsidP="00CA1631">
            <w:pPr>
              <w:autoSpaceDE w:val="0"/>
              <w:autoSpaceDN w:val="0"/>
              <w:adjustRightInd w:val="0"/>
              <w:jc w:val="center"/>
              <w:rPr>
                <w:sz w:val="22"/>
                <w:szCs w:val="22"/>
              </w:rPr>
            </w:pPr>
            <w:r w:rsidRPr="006B0EEE">
              <w:rPr>
                <w:sz w:val="22"/>
                <w:szCs w:val="22"/>
              </w:rPr>
              <w:t>Найменування  робіт, основних матеріалів та спеціалізованого обладнання</w:t>
            </w:r>
          </w:p>
        </w:tc>
        <w:tc>
          <w:tcPr>
            <w:tcW w:w="1080" w:type="dxa"/>
            <w:tcBorders>
              <w:top w:val="single" w:sz="12" w:space="0" w:color="auto"/>
              <w:left w:val="single" w:sz="4" w:space="0" w:color="auto"/>
              <w:bottom w:val="single" w:sz="6" w:space="0" w:color="auto"/>
              <w:right w:val="nil"/>
            </w:tcBorders>
            <w:vAlign w:val="center"/>
          </w:tcPr>
          <w:p w:rsidR="005C6ABF" w:rsidRPr="006B0EEE" w:rsidRDefault="005C6ABF" w:rsidP="00CA1631">
            <w:pPr>
              <w:autoSpaceDE w:val="0"/>
              <w:autoSpaceDN w:val="0"/>
              <w:adjustRightInd w:val="0"/>
              <w:jc w:val="center"/>
              <w:rPr>
                <w:sz w:val="22"/>
                <w:szCs w:val="22"/>
              </w:rPr>
            </w:pPr>
            <w:r w:rsidRPr="006B0EEE">
              <w:rPr>
                <w:sz w:val="22"/>
                <w:szCs w:val="22"/>
              </w:rPr>
              <w:t>Одиниця виміру</w:t>
            </w:r>
          </w:p>
        </w:tc>
        <w:tc>
          <w:tcPr>
            <w:tcW w:w="720" w:type="dxa"/>
            <w:tcBorders>
              <w:top w:val="single" w:sz="12" w:space="0" w:color="auto"/>
              <w:left w:val="single" w:sz="6" w:space="0" w:color="auto"/>
              <w:bottom w:val="single" w:sz="6" w:space="0" w:color="auto"/>
              <w:right w:val="single" w:sz="6" w:space="0" w:color="auto"/>
            </w:tcBorders>
            <w:vAlign w:val="center"/>
          </w:tcPr>
          <w:p w:rsidR="005C6ABF" w:rsidRPr="006B0EEE" w:rsidRDefault="005C6ABF" w:rsidP="00CA1631">
            <w:pPr>
              <w:autoSpaceDE w:val="0"/>
              <w:autoSpaceDN w:val="0"/>
              <w:adjustRightInd w:val="0"/>
              <w:jc w:val="center"/>
              <w:rPr>
                <w:sz w:val="22"/>
                <w:szCs w:val="22"/>
              </w:rPr>
            </w:pPr>
            <w:r w:rsidRPr="006B0EEE">
              <w:rPr>
                <w:sz w:val="22"/>
                <w:szCs w:val="22"/>
              </w:rPr>
              <w:t>Кіль-кість</w:t>
            </w:r>
          </w:p>
        </w:tc>
        <w:tc>
          <w:tcPr>
            <w:tcW w:w="902" w:type="dxa"/>
            <w:tcBorders>
              <w:top w:val="single" w:sz="12" w:space="0" w:color="auto"/>
              <w:left w:val="single" w:sz="6" w:space="0" w:color="auto"/>
              <w:bottom w:val="single" w:sz="6" w:space="0" w:color="auto"/>
              <w:right w:val="single" w:sz="6" w:space="0" w:color="auto"/>
            </w:tcBorders>
            <w:vAlign w:val="center"/>
          </w:tcPr>
          <w:p w:rsidR="005C6ABF" w:rsidRPr="006B0EEE" w:rsidRDefault="005C6ABF" w:rsidP="00CA1631">
            <w:pPr>
              <w:autoSpaceDE w:val="0"/>
              <w:autoSpaceDN w:val="0"/>
              <w:adjustRightInd w:val="0"/>
              <w:jc w:val="center"/>
              <w:rPr>
                <w:sz w:val="22"/>
                <w:szCs w:val="22"/>
              </w:rPr>
            </w:pPr>
            <w:r w:rsidRPr="006B0EEE">
              <w:rPr>
                <w:sz w:val="22"/>
                <w:szCs w:val="22"/>
              </w:rPr>
              <w:t>Вартість одиниці, грн.</w:t>
            </w:r>
          </w:p>
        </w:tc>
        <w:tc>
          <w:tcPr>
            <w:tcW w:w="1258" w:type="dxa"/>
            <w:tcBorders>
              <w:top w:val="single" w:sz="12" w:space="0" w:color="auto"/>
              <w:left w:val="single" w:sz="6" w:space="0" w:color="auto"/>
              <w:bottom w:val="single" w:sz="6" w:space="0" w:color="auto"/>
              <w:right w:val="single" w:sz="12" w:space="0" w:color="auto"/>
            </w:tcBorders>
            <w:vAlign w:val="center"/>
          </w:tcPr>
          <w:p w:rsidR="005C6ABF" w:rsidRPr="006B0EEE" w:rsidRDefault="005C6ABF" w:rsidP="00CA1631">
            <w:pPr>
              <w:autoSpaceDE w:val="0"/>
              <w:autoSpaceDN w:val="0"/>
              <w:adjustRightInd w:val="0"/>
              <w:jc w:val="center"/>
              <w:rPr>
                <w:sz w:val="22"/>
                <w:szCs w:val="22"/>
              </w:rPr>
            </w:pPr>
            <w:r w:rsidRPr="006B0EEE">
              <w:rPr>
                <w:sz w:val="22"/>
                <w:szCs w:val="22"/>
              </w:rPr>
              <w:t>Загальна  вартість, грн.</w:t>
            </w:r>
          </w:p>
        </w:tc>
      </w:tr>
      <w:tr w:rsidR="005C6ABF" w:rsidRPr="006B0EEE" w:rsidTr="00CA1631">
        <w:trPr>
          <w:cantSplit/>
          <w:trHeight w:val="122"/>
        </w:trPr>
        <w:tc>
          <w:tcPr>
            <w:tcW w:w="467" w:type="dxa"/>
            <w:tcBorders>
              <w:top w:val="single" w:sz="6" w:space="0" w:color="auto"/>
              <w:left w:val="single" w:sz="12" w:space="0" w:color="auto"/>
              <w:bottom w:val="single" w:sz="12" w:space="0" w:color="auto"/>
              <w:right w:val="single" w:sz="6" w:space="0" w:color="auto"/>
            </w:tcBorders>
          </w:tcPr>
          <w:p w:rsidR="005C6ABF" w:rsidRPr="006B0EEE" w:rsidRDefault="005C6ABF" w:rsidP="00CA1631">
            <w:pPr>
              <w:autoSpaceDE w:val="0"/>
              <w:autoSpaceDN w:val="0"/>
              <w:adjustRightInd w:val="0"/>
              <w:jc w:val="center"/>
              <w:rPr>
                <w:sz w:val="20"/>
                <w:szCs w:val="20"/>
              </w:rPr>
            </w:pPr>
            <w:r w:rsidRPr="006B0EEE">
              <w:rPr>
                <w:sz w:val="20"/>
                <w:szCs w:val="20"/>
              </w:rPr>
              <w:t>1</w:t>
            </w:r>
          </w:p>
        </w:tc>
        <w:tc>
          <w:tcPr>
            <w:tcW w:w="1183" w:type="dxa"/>
            <w:tcBorders>
              <w:top w:val="single" w:sz="6" w:space="0" w:color="auto"/>
              <w:left w:val="single" w:sz="6" w:space="0" w:color="auto"/>
              <w:bottom w:val="single" w:sz="12" w:space="0" w:color="auto"/>
              <w:right w:val="single" w:sz="6" w:space="0" w:color="auto"/>
            </w:tcBorders>
          </w:tcPr>
          <w:p w:rsidR="005C6ABF" w:rsidRPr="006B0EEE" w:rsidRDefault="005C6ABF" w:rsidP="00CA1631">
            <w:pPr>
              <w:autoSpaceDE w:val="0"/>
              <w:autoSpaceDN w:val="0"/>
              <w:adjustRightInd w:val="0"/>
              <w:jc w:val="center"/>
              <w:rPr>
                <w:sz w:val="20"/>
                <w:szCs w:val="20"/>
              </w:rPr>
            </w:pPr>
            <w:r w:rsidRPr="006B0EEE">
              <w:rPr>
                <w:sz w:val="20"/>
                <w:szCs w:val="20"/>
              </w:rPr>
              <w:t>2</w:t>
            </w:r>
          </w:p>
        </w:tc>
        <w:tc>
          <w:tcPr>
            <w:tcW w:w="3060" w:type="dxa"/>
            <w:tcBorders>
              <w:top w:val="single" w:sz="6" w:space="0" w:color="auto"/>
              <w:left w:val="single" w:sz="6" w:space="0" w:color="auto"/>
              <w:bottom w:val="single" w:sz="12" w:space="0" w:color="auto"/>
              <w:right w:val="single" w:sz="4" w:space="0" w:color="auto"/>
            </w:tcBorders>
          </w:tcPr>
          <w:p w:rsidR="005C6ABF" w:rsidRPr="006B0EEE" w:rsidRDefault="005C6ABF" w:rsidP="00CA1631">
            <w:pPr>
              <w:autoSpaceDE w:val="0"/>
              <w:autoSpaceDN w:val="0"/>
              <w:adjustRightInd w:val="0"/>
              <w:jc w:val="center"/>
              <w:rPr>
                <w:sz w:val="20"/>
                <w:szCs w:val="20"/>
              </w:rPr>
            </w:pPr>
            <w:r w:rsidRPr="006B0EEE">
              <w:rPr>
                <w:sz w:val="20"/>
                <w:szCs w:val="20"/>
              </w:rPr>
              <w:t>3</w:t>
            </w:r>
          </w:p>
        </w:tc>
        <w:tc>
          <w:tcPr>
            <w:tcW w:w="1080" w:type="dxa"/>
            <w:tcBorders>
              <w:top w:val="single" w:sz="6" w:space="0" w:color="auto"/>
              <w:left w:val="single" w:sz="4" w:space="0" w:color="auto"/>
              <w:bottom w:val="single" w:sz="12" w:space="0" w:color="auto"/>
              <w:right w:val="single" w:sz="6" w:space="0" w:color="auto"/>
            </w:tcBorders>
          </w:tcPr>
          <w:p w:rsidR="005C6ABF" w:rsidRPr="006B0EEE" w:rsidRDefault="005C6ABF" w:rsidP="00CA1631">
            <w:pPr>
              <w:autoSpaceDE w:val="0"/>
              <w:autoSpaceDN w:val="0"/>
              <w:adjustRightInd w:val="0"/>
              <w:jc w:val="center"/>
              <w:rPr>
                <w:sz w:val="20"/>
                <w:szCs w:val="20"/>
              </w:rPr>
            </w:pPr>
            <w:r w:rsidRPr="006B0EEE">
              <w:rPr>
                <w:sz w:val="20"/>
                <w:szCs w:val="20"/>
              </w:rPr>
              <w:t>4</w:t>
            </w:r>
          </w:p>
        </w:tc>
        <w:tc>
          <w:tcPr>
            <w:tcW w:w="720" w:type="dxa"/>
            <w:tcBorders>
              <w:top w:val="single" w:sz="6" w:space="0" w:color="auto"/>
              <w:left w:val="single" w:sz="6" w:space="0" w:color="auto"/>
              <w:bottom w:val="single" w:sz="12" w:space="0" w:color="auto"/>
              <w:right w:val="single" w:sz="6" w:space="0" w:color="auto"/>
            </w:tcBorders>
          </w:tcPr>
          <w:p w:rsidR="005C6ABF" w:rsidRPr="006B0EEE" w:rsidRDefault="005C6ABF" w:rsidP="00CA1631">
            <w:pPr>
              <w:autoSpaceDE w:val="0"/>
              <w:autoSpaceDN w:val="0"/>
              <w:adjustRightInd w:val="0"/>
              <w:jc w:val="center"/>
              <w:rPr>
                <w:sz w:val="20"/>
                <w:szCs w:val="20"/>
              </w:rPr>
            </w:pPr>
            <w:r w:rsidRPr="006B0EEE">
              <w:rPr>
                <w:sz w:val="20"/>
                <w:szCs w:val="20"/>
              </w:rPr>
              <w:t>5</w:t>
            </w:r>
          </w:p>
        </w:tc>
        <w:tc>
          <w:tcPr>
            <w:tcW w:w="902" w:type="dxa"/>
            <w:tcBorders>
              <w:top w:val="single" w:sz="6" w:space="0" w:color="auto"/>
              <w:left w:val="single" w:sz="6" w:space="0" w:color="auto"/>
              <w:bottom w:val="single" w:sz="12" w:space="0" w:color="auto"/>
              <w:right w:val="single" w:sz="6" w:space="0" w:color="auto"/>
            </w:tcBorders>
          </w:tcPr>
          <w:p w:rsidR="005C6ABF" w:rsidRPr="006B0EEE" w:rsidRDefault="005C6ABF" w:rsidP="00CA1631">
            <w:pPr>
              <w:autoSpaceDE w:val="0"/>
              <w:autoSpaceDN w:val="0"/>
              <w:adjustRightInd w:val="0"/>
              <w:jc w:val="center"/>
              <w:rPr>
                <w:sz w:val="20"/>
                <w:szCs w:val="20"/>
              </w:rPr>
            </w:pPr>
            <w:r w:rsidRPr="006B0EEE">
              <w:rPr>
                <w:sz w:val="20"/>
                <w:szCs w:val="20"/>
              </w:rPr>
              <w:t>6</w:t>
            </w:r>
          </w:p>
        </w:tc>
        <w:tc>
          <w:tcPr>
            <w:tcW w:w="1258" w:type="dxa"/>
            <w:tcBorders>
              <w:top w:val="single" w:sz="6" w:space="0" w:color="auto"/>
              <w:left w:val="single" w:sz="6" w:space="0" w:color="auto"/>
              <w:bottom w:val="single" w:sz="12" w:space="0" w:color="auto"/>
              <w:right w:val="single" w:sz="12" w:space="0" w:color="auto"/>
            </w:tcBorders>
          </w:tcPr>
          <w:p w:rsidR="005C6ABF" w:rsidRPr="006B0EEE" w:rsidRDefault="005C6ABF" w:rsidP="00CA1631">
            <w:pPr>
              <w:autoSpaceDE w:val="0"/>
              <w:autoSpaceDN w:val="0"/>
              <w:adjustRightInd w:val="0"/>
              <w:jc w:val="center"/>
              <w:rPr>
                <w:sz w:val="20"/>
                <w:szCs w:val="20"/>
              </w:rPr>
            </w:pPr>
            <w:r w:rsidRPr="006B0EEE">
              <w:rPr>
                <w:sz w:val="20"/>
                <w:szCs w:val="20"/>
              </w:rPr>
              <w:t>7</w:t>
            </w:r>
          </w:p>
        </w:tc>
      </w:tr>
      <w:tr w:rsidR="005C6ABF" w:rsidRPr="006B0EEE" w:rsidTr="00CA1631">
        <w:trPr>
          <w:cantSplit/>
          <w:trHeight w:val="116"/>
        </w:trPr>
        <w:tc>
          <w:tcPr>
            <w:tcW w:w="467" w:type="dxa"/>
            <w:tcBorders>
              <w:top w:val="single" w:sz="6" w:space="0" w:color="auto"/>
              <w:left w:val="single" w:sz="6" w:space="0" w:color="auto"/>
              <w:bottom w:val="single" w:sz="6" w:space="0" w:color="auto"/>
              <w:right w:val="single" w:sz="6" w:space="0" w:color="auto"/>
            </w:tcBorders>
            <w:vAlign w:val="center"/>
          </w:tcPr>
          <w:p w:rsidR="005C6ABF" w:rsidRPr="006B0EEE" w:rsidRDefault="005C6ABF" w:rsidP="00CA1631">
            <w:pPr>
              <w:autoSpaceDE w:val="0"/>
              <w:autoSpaceDN w:val="0"/>
              <w:adjustRightInd w:val="0"/>
              <w:jc w:val="center"/>
              <w:rPr>
                <w:bCs/>
                <w:sz w:val="20"/>
                <w:szCs w:val="20"/>
              </w:rPr>
            </w:pPr>
            <w:r w:rsidRPr="006B0EEE">
              <w:rPr>
                <w:bCs/>
                <w:sz w:val="20"/>
                <w:szCs w:val="20"/>
              </w:rPr>
              <w:t>1</w:t>
            </w:r>
          </w:p>
        </w:tc>
        <w:tc>
          <w:tcPr>
            <w:tcW w:w="1183" w:type="dxa"/>
            <w:tcBorders>
              <w:top w:val="single" w:sz="6" w:space="0" w:color="auto"/>
              <w:left w:val="single" w:sz="6" w:space="0" w:color="auto"/>
              <w:bottom w:val="single" w:sz="6" w:space="0" w:color="auto"/>
              <w:right w:val="single" w:sz="6" w:space="0" w:color="auto"/>
            </w:tcBorders>
          </w:tcPr>
          <w:p w:rsidR="005C6ABF" w:rsidRPr="006B0EEE" w:rsidRDefault="005C6ABF" w:rsidP="00CA1631">
            <w:pPr>
              <w:jc w:val="center"/>
              <w:rPr>
                <w:sz w:val="22"/>
                <w:szCs w:val="22"/>
              </w:rPr>
            </w:pPr>
          </w:p>
        </w:tc>
        <w:tc>
          <w:tcPr>
            <w:tcW w:w="3060" w:type="dxa"/>
            <w:tcBorders>
              <w:top w:val="single" w:sz="6" w:space="0" w:color="auto"/>
              <w:left w:val="single" w:sz="6" w:space="0" w:color="auto"/>
              <w:bottom w:val="single" w:sz="6" w:space="0" w:color="auto"/>
              <w:right w:val="nil"/>
            </w:tcBorders>
          </w:tcPr>
          <w:p w:rsidR="005C6ABF" w:rsidRPr="006B0EEE" w:rsidRDefault="005C6ABF" w:rsidP="00CA1631">
            <w:pPr>
              <w:jc w:val="center"/>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5C6ABF" w:rsidRPr="006B0EEE" w:rsidRDefault="005C6ABF" w:rsidP="00CA1631">
            <w:pPr>
              <w:jc w:val="center"/>
              <w:rPr>
                <w:sz w:val="22"/>
                <w:szCs w:val="22"/>
              </w:rPr>
            </w:pPr>
          </w:p>
        </w:tc>
        <w:tc>
          <w:tcPr>
            <w:tcW w:w="720" w:type="dxa"/>
            <w:tcBorders>
              <w:top w:val="single" w:sz="6" w:space="0" w:color="auto"/>
              <w:left w:val="single" w:sz="6" w:space="0" w:color="auto"/>
              <w:bottom w:val="single" w:sz="6" w:space="0" w:color="auto"/>
              <w:right w:val="single" w:sz="6" w:space="0" w:color="auto"/>
            </w:tcBorders>
          </w:tcPr>
          <w:p w:rsidR="005C6ABF" w:rsidRPr="006B0EEE" w:rsidRDefault="005C6ABF" w:rsidP="00CA1631">
            <w:pPr>
              <w:jc w:val="center"/>
              <w:rPr>
                <w:sz w:val="22"/>
                <w:szCs w:val="22"/>
              </w:rPr>
            </w:pPr>
          </w:p>
        </w:tc>
        <w:tc>
          <w:tcPr>
            <w:tcW w:w="900" w:type="dxa"/>
            <w:tcBorders>
              <w:top w:val="single" w:sz="6" w:space="0" w:color="auto"/>
              <w:left w:val="single" w:sz="6" w:space="0" w:color="auto"/>
              <w:bottom w:val="single" w:sz="6" w:space="0" w:color="auto"/>
              <w:right w:val="single" w:sz="6" w:space="0" w:color="auto"/>
            </w:tcBorders>
            <w:vAlign w:val="center"/>
          </w:tcPr>
          <w:p w:rsidR="005C6ABF" w:rsidRPr="006B0EEE" w:rsidRDefault="005C6ABF" w:rsidP="00CA1631">
            <w:pPr>
              <w:jc w:val="center"/>
              <w:rPr>
                <w:sz w:val="22"/>
                <w:szCs w:val="22"/>
              </w:rPr>
            </w:pPr>
          </w:p>
        </w:tc>
        <w:tc>
          <w:tcPr>
            <w:tcW w:w="1260" w:type="dxa"/>
            <w:tcBorders>
              <w:top w:val="single" w:sz="6" w:space="0" w:color="auto"/>
              <w:left w:val="single" w:sz="6" w:space="0" w:color="auto"/>
              <w:bottom w:val="single" w:sz="6" w:space="0" w:color="auto"/>
              <w:right w:val="single" w:sz="6" w:space="0" w:color="auto"/>
            </w:tcBorders>
            <w:vAlign w:val="center"/>
          </w:tcPr>
          <w:p w:rsidR="005C6ABF" w:rsidRPr="006B0EEE" w:rsidRDefault="005C6ABF" w:rsidP="00CA1631">
            <w:pPr>
              <w:jc w:val="center"/>
              <w:rPr>
                <w:sz w:val="22"/>
                <w:szCs w:val="22"/>
              </w:rPr>
            </w:pPr>
          </w:p>
        </w:tc>
      </w:tr>
      <w:tr w:rsidR="005C6ABF" w:rsidRPr="006B0EEE" w:rsidTr="00CA1631">
        <w:trPr>
          <w:cantSplit/>
          <w:trHeight w:val="210"/>
        </w:trPr>
        <w:tc>
          <w:tcPr>
            <w:tcW w:w="467" w:type="dxa"/>
            <w:tcBorders>
              <w:top w:val="single" w:sz="6" w:space="0" w:color="auto"/>
              <w:left w:val="single" w:sz="6" w:space="0" w:color="auto"/>
              <w:bottom w:val="single" w:sz="6" w:space="0" w:color="auto"/>
              <w:right w:val="single" w:sz="6" w:space="0" w:color="auto"/>
            </w:tcBorders>
            <w:vAlign w:val="center"/>
          </w:tcPr>
          <w:p w:rsidR="005C6ABF" w:rsidRPr="006B0EEE" w:rsidRDefault="005C6ABF" w:rsidP="00CA1631">
            <w:pPr>
              <w:autoSpaceDE w:val="0"/>
              <w:autoSpaceDN w:val="0"/>
              <w:adjustRightInd w:val="0"/>
              <w:jc w:val="center"/>
              <w:rPr>
                <w:bCs/>
                <w:sz w:val="20"/>
                <w:szCs w:val="20"/>
              </w:rPr>
            </w:pPr>
            <w:r w:rsidRPr="006B0EEE">
              <w:rPr>
                <w:bCs/>
                <w:sz w:val="20"/>
                <w:szCs w:val="20"/>
              </w:rPr>
              <w:t>2</w:t>
            </w:r>
          </w:p>
        </w:tc>
        <w:tc>
          <w:tcPr>
            <w:tcW w:w="1183" w:type="dxa"/>
            <w:tcBorders>
              <w:top w:val="single" w:sz="6" w:space="0" w:color="auto"/>
              <w:left w:val="single" w:sz="6" w:space="0" w:color="auto"/>
              <w:bottom w:val="single" w:sz="6" w:space="0" w:color="auto"/>
              <w:right w:val="single" w:sz="6" w:space="0" w:color="auto"/>
            </w:tcBorders>
          </w:tcPr>
          <w:p w:rsidR="005C6ABF" w:rsidRPr="006B0EEE" w:rsidRDefault="005C6ABF" w:rsidP="00CA1631">
            <w:pPr>
              <w:jc w:val="center"/>
              <w:rPr>
                <w:sz w:val="22"/>
                <w:szCs w:val="22"/>
              </w:rPr>
            </w:pPr>
          </w:p>
        </w:tc>
        <w:tc>
          <w:tcPr>
            <w:tcW w:w="3060" w:type="dxa"/>
            <w:tcBorders>
              <w:top w:val="single" w:sz="6" w:space="0" w:color="auto"/>
              <w:left w:val="single" w:sz="6" w:space="0" w:color="auto"/>
              <w:bottom w:val="single" w:sz="6" w:space="0" w:color="auto"/>
              <w:right w:val="nil"/>
            </w:tcBorders>
          </w:tcPr>
          <w:p w:rsidR="005C6ABF" w:rsidRPr="006B0EEE" w:rsidRDefault="005C6ABF" w:rsidP="00CA1631">
            <w:pPr>
              <w:jc w:val="center"/>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5C6ABF" w:rsidRPr="006B0EEE" w:rsidRDefault="005C6ABF" w:rsidP="00CA1631">
            <w:pPr>
              <w:jc w:val="center"/>
              <w:rPr>
                <w:sz w:val="22"/>
                <w:szCs w:val="22"/>
              </w:rPr>
            </w:pPr>
          </w:p>
        </w:tc>
        <w:tc>
          <w:tcPr>
            <w:tcW w:w="720" w:type="dxa"/>
            <w:tcBorders>
              <w:top w:val="single" w:sz="6" w:space="0" w:color="auto"/>
              <w:left w:val="single" w:sz="6" w:space="0" w:color="auto"/>
              <w:bottom w:val="single" w:sz="6" w:space="0" w:color="auto"/>
              <w:right w:val="single" w:sz="6" w:space="0" w:color="auto"/>
            </w:tcBorders>
          </w:tcPr>
          <w:p w:rsidR="005C6ABF" w:rsidRPr="006B0EEE" w:rsidRDefault="005C6ABF" w:rsidP="00CA1631">
            <w:pPr>
              <w:jc w:val="center"/>
              <w:rPr>
                <w:sz w:val="22"/>
                <w:szCs w:val="22"/>
              </w:rPr>
            </w:pPr>
          </w:p>
        </w:tc>
        <w:tc>
          <w:tcPr>
            <w:tcW w:w="900" w:type="dxa"/>
            <w:tcBorders>
              <w:top w:val="single" w:sz="6" w:space="0" w:color="auto"/>
              <w:left w:val="single" w:sz="6" w:space="0" w:color="auto"/>
              <w:bottom w:val="single" w:sz="6" w:space="0" w:color="auto"/>
              <w:right w:val="single" w:sz="6" w:space="0" w:color="auto"/>
            </w:tcBorders>
            <w:vAlign w:val="center"/>
          </w:tcPr>
          <w:p w:rsidR="005C6ABF" w:rsidRPr="006B0EEE" w:rsidRDefault="005C6ABF" w:rsidP="00CA1631">
            <w:pPr>
              <w:jc w:val="center"/>
              <w:rPr>
                <w:sz w:val="22"/>
                <w:szCs w:val="22"/>
              </w:rPr>
            </w:pPr>
          </w:p>
        </w:tc>
        <w:tc>
          <w:tcPr>
            <w:tcW w:w="1260" w:type="dxa"/>
            <w:tcBorders>
              <w:top w:val="single" w:sz="6" w:space="0" w:color="auto"/>
              <w:left w:val="single" w:sz="6" w:space="0" w:color="auto"/>
              <w:bottom w:val="single" w:sz="6" w:space="0" w:color="auto"/>
              <w:right w:val="single" w:sz="6" w:space="0" w:color="auto"/>
            </w:tcBorders>
            <w:vAlign w:val="center"/>
          </w:tcPr>
          <w:p w:rsidR="005C6ABF" w:rsidRPr="006B0EEE" w:rsidRDefault="005C6ABF" w:rsidP="00CA1631">
            <w:pPr>
              <w:jc w:val="center"/>
              <w:rPr>
                <w:sz w:val="22"/>
                <w:szCs w:val="22"/>
              </w:rPr>
            </w:pPr>
          </w:p>
        </w:tc>
      </w:tr>
      <w:tr w:rsidR="005C6ABF" w:rsidRPr="006B0EEE" w:rsidTr="00CA1631">
        <w:trPr>
          <w:cantSplit/>
          <w:trHeight w:val="124"/>
        </w:trPr>
        <w:tc>
          <w:tcPr>
            <w:tcW w:w="467" w:type="dxa"/>
            <w:tcBorders>
              <w:top w:val="single" w:sz="6" w:space="0" w:color="auto"/>
              <w:left w:val="single" w:sz="6" w:space="0" w:color="auto"/>
              <w:bottom w:val="single" w:sz="6" w:space="0" w:color="auto"/>
              <w:right w:val="single" w:sz="6" w:space="0" w:color="auto"/>
            </w:tcBorders>
            <w:vAlign w:val="center"/>
          </w:tcPr>
          <w:p w:rsidR="005C6ABF" w:rsidRPr="006B0EEE" w:rsidRDefault="005C6ABF" w:rsidP="00CA1631">
            <w:pPr>
              <w:autoSpaceDE w:val="0"/>
              <w:autoSpaceDN w:val="0"/>
              <w:adjustRightInd w:val="0"/>
              <w:jc w:val="center"/>
              <w:rPr>
                <w:bCs/>
                <w:sz w:val="20"/>
                <w:szCs w:val="20"/>
              </w:rPr>
            </w:pPr>
            <w:r w:rsidRPr="006B0EEE">
              <w:rPr>
                <w:bCs/>
                <w:sz w:val="20"/>
                <w:szCs w:val="20"/>
              </w:rPr>
              <w:t>3</w:t>
            </w:r>
          </w:p>
        </w:tc>
        <w:tc>
          <w:tcPr>
            <w:tcW w:w="1183" w:type="dxa"/>
            <w:tcBorders>
              <w:top w:val="single" w:sz="6" w:space="0" w:color="auto"/>
              <w:left w:val="single" w:sz="6" w:space="0" w:color="auto"/>
              <w:bottom w:val="single" w:sz="6" w:space="0" w:color="auto"/>
              <w:right w:val="single" w:sz="6" w:space="0" w:color="auto"/>
            </w:tcBorders>
          </w:tcPr>
          <w:p w:rsidR="005C6ABF" w:rsidRPr="006B0EEE" w:rsidRDefault="005C6ABF" w:rsidP="00CA1631">
            <w:pPr>
              <w:jc w:val="center"/>
              <w:rPr>
                <w:sz w:val="22"/>
                <w:szCs w:val="22"/>
              </w:rPr>
            </w:pPr>
          </w:p>
        </w:tc>
        <w:tc>
          <w:tcPr>
            <w:tcW w:w="3060" w:type="dxa"/>
            <w:tcBorders>
              <w:top w:val="single" w:sz="6" w:space="0" w:color="auto"/>
              <w:left w:val="single" w:sz="6" w:space="0" w:color="auto"/>
              <w:bottom w:val="single" w:sz="6" w:space="0" w:color="auto"/>
              <w:right w:val="nil"/>
            </w:tcBorders>
          </w:tcPr>
          <w:p w:rsidR="005C6ABF" w:rsidRPr="006B0EEE" w:rsidRDefault="005C6ABF" w:rsidP="00CA1631">
            <w:pPr>
              <w:jc w:val="center"/>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5C6ABF" w:rsidRPr="006B0EEE" w:rsidRDefault="005C6ABF" w:rsidP="00CA1631">
            <w:pPr>
              <w:jc w:val="center"/>
              <w:rPr>
                <w:sz w:val="22"/>
                <w:szCs w:val="22"/>
              </w:rPr>
            </w:pPr>
          </w:p>
        </w:tc>
        <w:tc>
          <w:tcPr>
            <w:tcW w:w="720" w:type="dxa"/>
            <w:tcBorders>
              <w:top w:val="single" w:sz="6" w:space="0" w:color="auto"/>
              <w:left w:val="single" w:sz="6" w:space="0" w:color="auto"/>
              <w:bottom w:val="single" w:sz="6" w:space="0" w:color="auto"/>
              <w:right w:val="single" w:sz="6" w:space="0" w:color="auto"/>
            </w:tcBorders>
          </w:tcPr>
          <w:p w:rsidR="005C6ABF" w:rsidRPr="006B0EEE" w:rsidRDefault="005C6ABF" w:rsidP="00CA1631">
            <w:pPr>
              <w:jc w:val="center"/>
              <w:rPr>
                <w:sz w:val="22"/>
                <w:szCs w:val="22"/>
              </w:rPr>
            </w:pPr>
          </w:p>
        </w:tc>
        <w:tc>
          <w:tcPr>
            <w:tcW w:w="900" w:type="dxa"/>
            <w:tcBorders>
              <w:top w:val="single" w:sz="6" w:space="0" w:color="auto"/>
              <w:left w:val="single" w:sz="6" w:space="0" w:color="auto"/>
              <w:bottom w:val="single" w:sz="6" w:space="0" w:color="auto"/>
              <w:right w:val="single" w:sz="6" w:space="0" w:color="auto"/>
            </w:tcBorders>
            <w:vAlign w:val="center"/>
          </w:tcPr>
          <w:p w:rsidR="005C6ABF" w:rsidRPr="006B0EEE" w:rsidRDefault="005C6ABF" w:rsidP="00CA1631">
            <w:pPr>
              <w:jc w:val="center"/>
              <w:rPr>
                <w:sz w:val="22"/>
                <w:szCs w:val="22"/>
              </w:rPr>
            </w:pPr>
          </w:p>
        </w:tc>
        <w:tc>
          <w:tcPr>
            <w:tcW w:w="1260" w:type="dxa"/>
            <w:tcBorders>
              <w:top w:val="single" w:sz="6" w:space="0" w:color="auto"/>
              <w:left w:val="single" w:sz="6" w:space="0" w:color="auto"/>
              <w:bottom w:val="single" w:sz="6" w:space="0" w:color="auto"/>
              <w:right w:val="single" w:sz="6" w:space="0" w:color="auto"/>
            </w:tcBorders>
            <w:vAlign w:val="center"/>
          </w:tcPr>
          <w:p w:rsidR="005C6ABF" w:rsidRPr="006B0EEE" w:rsidRDefault="005C6ABF" w:rsidP="00CA1631">
            <w:pPr>
              <w:jc w:val="center"/>
              <w:rPr>
                <w:sz w:val="22"/>
                <w:szCs w:val="22"/>
              </w:rPr>
            </w:pPr>
          </w:p>
        </w:tc>
      </w:tr>
    </w:tbl>
    <w:p w:rsidR="005C6ABF" w:rsidRPr="006B0EEE" w:rsidRDefault="005C6ABF" w:rsidP="005C6ABF">
      <w:pPr>
        <w:tabs>
          <w:tab w:val="left" w:pos="7020"/>
        </w:tabs>
        <w:spacing w:before="60"/>
        <w:ind w:right="2620"/>
        <w:jc w:val="right"/>
        <w:rPr>
          <w:sz w:val="20"/>
          <w:szCs w:val="20"/>
        </w:rPr>
      </w:pPr>
      <w:r w:rsidRPr="006B0EEE">
        <w:rPr>
          <w:sz w:val="20"/>
          <w:szCs w:val="20"/>
        </w:rPr>
        <w:t>Всього:</w:t>
      </w:r>
    </w:p>
    <w:p w:rsidR="005C6ABF" w:rsidRPr="006B0EEE" w:rsidRDefault="005C6ABF" w:rsidP="005C6ABF">
      <w:pPr>
        <w:tabs>
          <w:tab w:val="left" w:pos="7020"/>
        </w:tabs>
        <w:spacing w:before="60"/>
        <w:ind w:right="2620"/>
        <w:jc w:val="right"/>
        <w:rPr>
          <w:sz w:val="20"/>
          <w:szCs w:val="20"/>
        </w:rPr>
      </w:pPr>
      <w:r w:rsidRPr="006B0EEE">
        <w:rPr>
          <w:sz w:val="20"/>
          <w:szCs w:val="20"/>
        </w:rPr>
        <w:t>Інші витрати:</w:t>
      </w:r>
    </w:p>
    <w:p w:rsidR="005C6ABF" w:rsidRPr="006B0EEE" w:rsidRDefault="005C6ABF" w:rsidP="005C6ABF">
      <w:pPr>
        <w:tabs>
          <w:tab w:val="left" w:pos="7020"/>
        </w:tabs>
        <w:spacing w:before="60"/>
        <w:ind w:right="2620"/>
        <w:jc w:val="right"/>
        <w:rPr>
          <w:sz w:val="20"/>
          <w:szCs w:val="20"/>
        </w:rPr>
      </w:pPr>
      <w:r w:rsidRPr="006B0EEE">
        <w:rPr>
          <w:sz w:val="20"/>
          <w:szCs w:val="20"/>
        </w:rPr>
        <w:t>…</w:t>
      </w:r>
    </w:p>
    <w:p w:rsidR="005C6ABF" w:rsidRPr="006B0EEE" w:rsidRDefault="005C6ABF" w:rsidP="005C6ABF">
      <w:pPr>
        <w:tabs>
          <w:tab w:val="left" w:pos="7020"/>
        </w:tabs>
        <w:spacing w:before="60"/>
        <w:ind w:right="2620"/>
        <w:jc w:val="right"/>
        <w:rPr>
          <w:sz w:val="20"/>
          <w:szCs w:val="20"/>
        </w:rPr>
      </w:pPr>
      <w:r w:rsidRPr="006B0EEE">
        <w:rPr>
          <w:sz w:val="20"/>
          <w:szCs w:val="20"/>
        </w:rPr>
        <w:t>Податки:</w:t>
      </w:r>
    </w:p>
    <w:p w:rsidR="005C6ABF" w:rsidRPr="006B0EEE" w:rsidRDefault="005C6ABF" w:rsidP="005C6ABF">
      <w:pPr>
        <w:tabs>
          <w:tab w:val="left" w:pos="7020"/>
        </w:tabs>
        <w:spacing w:before="60"/>
        <w:ind w:right="2620"/>
        <w:jc w:val="right"/>
        <w:rPr>
          <w:sz w:val="20"/>
          <w:szCs w:val="20"/>
        </w:rPr>
      </w:pPr>
      <w:r w:rsidRPr="006B0EEE">
        <w:rPr>
          <w:sz w:val="20"/>
          <w:szCs w:val="20"/>
        </w:rPr>
        <w:t>Разом:</w:t>
      </w:r>
    </w:p>
    <w:p w:rsidR="005C6ABF" w:rsidRPr="006B0EEE" w:rsidRDefault="005C6ABF" w:rsidP="005C6ABF">
      <w:pPr>
        <w:rPr>
          <w:sz w:val="20"/>
          <w:szCs w:val="20"/>
        </w:rPr>
      </w:pPr>
    </w:p>
    <w:tbl>
      <w:tblPr>
        <w:tblW w:w="9677" w:type="dxa"/>
        <w:tblInd w:w="-4" w:type="dxa"/>
        <w:tblLayout w:type="fixed"/>
        <w:tblCellMar>
          <w:left w:w="0" w:type="dxa"/>
          <w:right w:w="0" w:type="dxa"/>
        </w:tblCellMar>
        <w:tblLook w:val="0000" w:firstRow="0" w:lastRow="0" w:firstColumn="0" w:lastColumn="0" w:noHBand="0" w:noVBand="0"/>
      </w:tblPr>
      <w:tblGrid>
        <w:gridCol w:w="733"/>
        <w:gridCol w:w="1470"/>
        <w:gridCol w:w="1250"/>
        <w:gridCol w:w="739"/>
        <w:gridCol w:w="1255"/>
        <w:gridCol w:w="1090"/>
        <w:gridCol w:w="967"/>
        <w:gridCol w:w="46"/>
        <w:gridCol w:w="2127"/>
      </w:tblGrid>
      <w:tr w:rsidR="005C6ABF" w:rsidRPr="006B0EEE" w:rsidTr="00CA1631">
        <w:trPr>
          <w:cantSplit/>
          <w:trHeight w:val="216"/>
        </w:trPr>
        <w:tc>
          <w:tcPr>
            <w:tcW w:w="733" w:type="dxa"/>
            <w:tcBorders>
              <w:top w:val="nil"/>
              <w:left w:val="nil"/>
              <w:bottom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b/>
                <w:bCs/>
                <w:sz w:val="22"/>
                <w:szCs w:val="22"/>
              </w:rPr>
            </w:pPr>
          </w:p>
        </w:tc>
        <w:tc>
          <w:tcPr>
            <w:tcW w:w="8944" w:type="dxa"/>
            <w:gridSpan w:val="8"/>
            <w:tcBorders>
              <w:top w:val="nil"/>
              <w:left w:val="nil"/>
              <w:bottom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r w:rsidRPr="006B0EEE">
              <w:rPr>
                <w:bCs/>
                <w:sz w:val="22"/>
                <w:szCs w:val="22"/>
              </w:rPr>
              <w:t xml:space="preserve">     Посада та  прізвище уповноваженого представника організації-підрядника:</w:t>
            </w:r>
          </w:p>
        </w:tc>
      </w:tr>
      <w:tr w:rsidR="005C6ABF" w:rsidRPr="006B0EEE" w:rsidTr="00CA1631">
        <w:trPr>
          <w:trHeight w:val="255"/>
        </w:trPr>
        <w:tc>
          <w:tcPr>
            <w:tcW w:w="733" w:type="dxa"/>
            <w:tcBorders>
              <w:top w:val="nil"/>
              <w:left w:val="nil"/>
              <w:bottom w:val="nil"/>
              <w:right w:val="nil"/>
            </w:tcBorders>
            <w:tcMar>
              <w:top w:w="13" w:type="dxa"/>
              <w:left w:w="13" w:type="dxa"/>
              <w:bottom w:w="0" w:type="dxa"/>
              <w:right w:w="13" w:type="dxa"/>
            </w:tcMar>
            <w:vAlign w:val="center"/>
          </w:tcPr>
          <w:p w:rsidR="005C6ABF" w:rsidRPr="006B0EEE" w:rsidRDefault="005C6ABF" w:rsidP="00CA1631">
            <w:pPr>
              <w:jc w:val="right"/>
              <w:rPr>
                <w:rFonts w:eastAsia="Arial Unicode MS"/>
                <w:sz w:val="22"/>
                <w:szCs w:val="22"/>
              </w:rPr>
            </w:pPr>
          </w:p>
        </w:tc>
        <w:tc>
          <w:tcPr>
            <w:tcW w:w="1470" w:type="dxa"/>
            <w:tcBorders>
              <w:top w:val="nil"/>
              <w:left w:val="nil"/>
              <w:bottom w:val="nil"/>
              <w:right w:val="nil"/>
            </w:tcBorders>
            <w:tcMar>
              <w:top w:w="13" w:type="dxa"/>
              <w:left w:w="13" w:type="dxa"/>
              <w:bottom w:w="0" w:type="dxa"/>
              <w:right w:w="13" w:type="dxa"/>
            </w:tcMar>
            <w:vAlign w:val="center"/>
          </w:tcPr>
          <w:p w:rsidR="005C6ABF" w:rsidRPr="006B0EEE" w:rsidRDefault="005C6ABF" w:rsidP="00CA1631">
            <w:pPr>
              <w:jc w:val="right"/>
              <w:rPr>
                <w:rFonts w:eastAsia="Arial Unicode MS"/>
                <w:sz w:val="22"/>
                <w:szCs w:val="22"/>
              </w:rPr>
            </w:pPr>
          </w:p>
        </w:tc>
        <w:tc>
          <w:tcPr>
            <w:tcW w:w="1250" w:type="dxa"/>
            <w:tcBorders>
              <w:top w:val="nil"/>
              <w:left w:val="nil"/>
              <w:bottom w:val="nil"/>
              <w:right w:val="nil"/>
            </w:tcBorders>
            <w:tcMar>
              <w:top w:w="13" w:type="dxa"/>
              <w:left w:w="13" w:type="dxa"/>
              <w:bottom w:w="0" w:type="dxa"/>
              <w:right w:w="13" w:type="dxa"/>
            </w:tcMar>
            <w:vAlign w:val="center"/>
          </w:tcPr>
          <w:p w:rsidR="005C6ABF" w:rsidRPr="006B0EEE" w:rsidRDefault="005C6ABF" w:rsidP="00CA1631">
            <w:pPr>
              <w:jc w:val="right"/>
              <w:rPr>
                <w:rFonts w:eastAsia="Arial Unicode MS"/>
                <w:sz w:val="22"/>
                <w:szCs w:val="22"/>
              </w:rPr>
            </w:pPr>
          </w:p>
        </w:tc>
        <w:tc>
          <w:tcPr>
            <w:tcW w:w="739" w:type="dxa"/>
            <w:tcBorders>
              <w:top w:val="nil"/>
              <w:left w:val="nil"/>
              <w:bottom w:val="nil"/>
              <w:right w:val="nil"/>
            </w:tcBorders>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1255" w:type="dxa"/>
            <w:tcBorders>
              <w:top w:val="nil"/>
              <w:left w:val="nil"/>
              <w:bottom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1090" w:type="dxa"/>
            <w:tcBorders>
              <w:top w:val="nil"/>
              <w:left w:val="nil"/>
              <w:bottom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967" w:type="dxa"/>
            <w:tcBorders>
              <w:top w:val="nil"/>
              <w:left w:val="nil"/>
              <w:bottom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46" w:type="dxa"/>
            <w:tcBorders>
              <w:top w:val="nil"/>
              <w:left w:val="nil"/>
              <w:bottom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2127" w:type="dxa"/>
            <w:tcBorders>
              <w:top w:val="nil"/>
              <w:left w:val="nil"/>
              <w:bottom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r>
      <w:tr w:rsidR="005C6ABF" w:rsidRPr="006B0EEE" w:rsidTr="00CA1631">
        <w:trPr>
          <w:cantSplit/>
          <w:trHeight w:val="255"/>
        </w:trPr>
        <w:tc>
          <w:tcPr>
            <w:tcW w:w="733" w:type="dxa"/>
            <w:tcBorders>
              <w:top w:val="nil"/>
              <w:left w:val="nil"/>
              <w:right w:val="nil"/>
            </w:tcBorders>
            <w:tcMar>
              <w:top w:w="13" w:type="dxa"/>
              <w:left w:w="13" w:type="dxa"/>
              <w:bottom w:w="0" w:type="dxa"/>
              <w:right w:w="13" w:type="dxa"/>
            </w:tcMar>
            <w:vAlign w:val="center"/>
          </w:tcPr>
          <w:p w:rsidR="005C6ABF" w:rsidRPr="006B0EEE" w:rsidRDefault="005C6ABF" w:rsidP="00CA1631">
            <w:pPr>
              <w:jc w:val="right"/>
              <w:rPr>
                <w:rFonts w:eastAsia="Arial Unicode MS"/>
                <w:sz w:val="22"/>
                <w:szCs w:val="22"/>
              </w:rPr>
            </w:pPr>
          </w:p>
        </w:tc>
        <w:tc>
          <w:tcPr>
            <w:tcW w:w="1470" w:type="dxa"/>
            <w:tcBorders>
              <w:top w:val="nil"/>
              <w:left w:val="nil"/>
              <w:right w:val="nil"/>
            </w:tcBorders>
            <w:tcMar>
              <w:top w:w="13" w:type="dxa"/>
              <w:left w:w="13" w:type="dxa"/>
              <w:bottom w:w="0" w:type="dxa"/>
              <w:right w:w="13" w:type="dxa"/>
            </w:tcMar>
            <w:vAlign w:val="center"/>
          </w:tcPr>
          <w:p w:rsidR="005C6ABF" w:rsidRPr="006B0EEE" w:rsidRDefault="005C6ABF" w:rsidP="00CA1631">
            <w:pPr>
              <w:jc w:val="right"/>
              <w:rPr>
                <w:rFonts w:eastAsia="Arial Unicode MS"/>
                <w:sz w:val="22"/>
                <w:szCs w:val="22"/>
              </w:rPr>
            </w:pPr>
          </w:p>
        </w:tc>
        <w:tc>
          <w:tcPr>
            <w:tcW w:w="1250" w:type="dxa"/>
            <w:tcBorders>
              <w:top w:val="nil"/>
              <w:left w:val="nil"/>
              <w:right w:val="nil"/>
            </w:tcBorders>
            <w:tcMar>
              <w:top w:w="13" w:type="dxa"/>
              <w:left w:w="13" w:type="dxa"/>
              <w:bottom w:w="0" w:type="dxa"/>
              <w:right w:w="13" w:type="dxa"/>
            </w:tcMar>
            <w:vAlign w:val="center"/>
          </w:tcPr>
          <w:p w:rsidR="005C6ABF" w:rsidRPr="006B0EEE" w:rsidRDefault="005C6ABF" w:rsidP="00CA1631">
            <w:pPr>
              <w:jc w:val="center"/>
              <w:rPr>
                <w:rFonts w:eastAsia="Arial Unicode MS"/>
                <w:bCs/>
                <w:sz w:val="22"/>
                <w:szCs w:val="22"/>
              </w:rPr>
            </w:pPr>
            <w:r w:rsidRPr="006B0EEE">
              <w:rPr>
                <w:bCs/>
                <w:sz w:val="22"/>
                <w:szCs w:val="22"/>
              </w:rPr>
              <w:t>М.П.</w:t>
            </w:r>
          </w:p>
        </w:tc>
        <w:tc>
          <w:tcPr>
            <w:tcW w:w="739" w:type="dxa"/>
            <w:tcBorders>
              <w:top w:val="nil"/>
              <w:left w:val="nil"/>
              <w:right w:val="nil"/>
            </w:tcBorders>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1255" w:type="dxa"/>
            <w:tcBorders>
              <w:top w:val="nil"/>
              <w:left w:val="nil"/>
              <w:right w:val="nil"/>
            </w:tcBorders>
            <w:noWrap/>
            <w:tcMar>
              <w:top w:w="13" w:type="dxa"/>
              <w:left w:w="13" w:type="dxa"/>
              <w:bottom w:w="0" w:type="dxa"/>
              <w:right w:w="13" w:type="dxa"/>
            </w:tcMar>
            <w:vAlign w:val="bottom"/>
          </w:tcPr>
          <w:p w:rsidR="005C6ABF" w:rsidRPr="006B0EEE" w:rsidRDefault="005C6ABF" w:rsidP="00CA1631">
            <w:pPr>
              <w:jc w:val="center"/>
              <w:rPr>
                <w:rFonts w:eastAsia="Arial Unicode MS"/>
                <w:bCs/>
                <w:sz w:val="22"/>
                <w:szCs w:val="22"/>
              </w:rPr>
            </w:pPr>
            <w:r w:rsidRPr="006B0EEE">
              <w:rPr>
                <w:bCs/>
                <w:sz w:val="22"/>
                <w:szCs w:val="22"/>
              </w:rPr>
              <w:t>Підпис:</w:t>
            </w:r>
          </w:p>
        </w:tc>
        <w:tc>
          <w:tcPr>
            <w:tcW w:w="4230" w:type="dxa"/>
            <w:gridSpan w:val="4"/>
            <w:tcBorders>
              <w:top w:val="nil"/>
              <w:left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r w:rsidRPr="006B0EEE">
              <w:rPr>
                <w:sz w:val="22"/>
                <w:szCs w:val="22"/>
              </w:rPr>
              <w:t> ____________________________________</w:t>
            </w:r>
          </w:p>
        </w:tc>
      </w:tr>
      <w:tr w:rsidR="005C6ABF" w:rsidRPr="006B0EEE" w:rsidTr="00CA1631">
        <w:trPr>
          <w:trHeight w:val="255"/>
        </w:trPr>
        <w:tc>
          <w:tcPr>
            <w:tcW w:w="733" w:type="dxa"/>
            <w:tcBorders>
              <w:top w:val="nil"/>
              <w:left w:val="nil"/>
              <w:right w:val="nil"/>
            </w:tcBorders>
            <w:tcMar>
              <w:top w:w="13" w:type="dxa"/>
              <w:left w:w="13" w:type="dxa"/>
              <w:bottom w:w="0" w:type="dxa"/>
              <w:right w:w="13" w:type="dxa"/>
            </w:tcMar>
            <w:vAlign w:val="center"/>
          </w:tcPr>
          <w:p w:rsidR="005C6ABF" w:rsidRPr="006B0EEE" w:rsidRDefault="005C6ABF" w:rsidP="00CA1631">
            <w:pPr>
              <w:jc w:val="right"/>
              <w:rPr>
                <w:rFonts w:eastAsia="Arial Unicode MS"/>
                <w:sz w:val="22"/>
                <w:szCs w:val="22"/>
              </w:rPr>
            </w:pPr>
          </w:p>
        </w:tc>
        <w:tc>
          <w:tcPr>
            <w:tcW w:w="1470" w:type="dxa"/>
            <w:tcBorders>
              <w:top w:val="nil"/>
              <w:left w:val="nil"/>
              <w:right w:val="nil"/>
            </w:tcBorders>
            <w:tcMar>
              <w:top w:w="13" w:type="dxa"/>
              <w:left w:w="13" w:type="dxa"/>
              <w:bottom w:w="0" w:type="dxa"/>
              <w:right w:w="13" w:type="dxa"/>
            </w:tcMar>
            <w:vAlign w:val="center"/>
          </w:tcPr>
          <w:p w:rsidR="005C6ABF" w:rsidRPr="006B0EEE" w:rsidRDefault="005C6ABF" w:rsidP="00CA1631">
            <w:pPr>
              <w:jc w:val="right"/>
              <w:rPr>
                <w:rFonts w:eastAsia="Arial Unicode MS"/>
                <w:sz w:val="22"/>
                <w:szCs w:val="22"/>
              </w:rPr>
            </w:pPr>
          </w:p>
        </w:tc>
        <w:tc>
          <w:tcPr>
            <w:tcW w:w="1250" w:type="dxa"/>
            <w:tcBorders>
              <w:top w:val="nil"/>
              <w:left w:val="nil"/>
              <w:right w:val="nil"/>
            </w:tcBorders>
            <w:tcMar>
              <w:top w:w="13" w:type="dxa"/>
              <w:left w:w="13" w:type="dxa"/>
              <w:bottom w:w="0" w:type="dxa"/>
              <w:right w:w="13" w:type="dxa"/>
            </w:tcMar>
            <w:vAlign w:val="center"/>
          </w:tcPr>
          <w:p w:rsidR="005C6ABF" w:rsidRPr="006B0EEE" w:rsidRDefault="005C6ABF" w:rsidP="00CA1631">
            <w:pPr>
              <w:jc w:val="center"/>
              <w:rPr>
                <w:rFonts w:eastAsia="Arial Unicode MS"/>
                <w:sz w:val="22"/>
                <w:szCs w:val="22"/>
              </w:rPr>
            </w:pPr>
          </w:p>
        </w:tc>
        <w:tc>
          <w:tcPr>
            <w:tcW w:w="739" w:type="dxa"/>
            <w:tcBorders>
              <w:top w:val="nil"/>
              <w:left w:val="nil"/>
              <w:right w:val="nil"/>
            </w:tcBorders>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1255" w:type="dxa"/>
            <w:tcBorders>
              <w:top w:val="nil"/>
              <w:left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1090" w:type="dxa"/>
            <w:tcBorders>
              <w:top w:val="nil"/>
              <w:left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967" w:type="dxa"/>
            <w:tcBorders>
              <w:top w:val="nil"/>
              <w:left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46" w:type="dxa"/>
            <w:tcBorders>
              <w:top w:val="nil"/>
              <w:left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c>
          <w:tcPr>
            <w:tcW w:w="2127" w:type="dxa"/>
            <w:tcBorders>
              <w:top w:val="nil"/>
              <w:left w:val="nil"/>
              <w:right w:val="nil"/>
            </w:tcBorders>
            <w:noWrap/>
            <w:tcMar>
              <w:top w:w="13" w:type="dxa"/>
              <w:left w:w="13" w:type="dxa"/>
              <w:bottom w:w="0" w:type="dxa"/>
              <w:right w:w="13" w:type="dxa"/>
            </w:tcMar>
            <w:vAlign w:val="bottom"/>
          </w:tcPr>
          <w:p w:rsidR="005C6ABF" w:rsidRPr="006B0EEE" w:rsidRDefault="005C6ABF" w:rsidP="00CA1631">
            <w:pPr>
              <w:rPr>
                <w:rFonts w:eastAsia="Arial Unicode MS"/>
                <w:sz w:val="22"/>
                <w:szCs w:val="22"/>
              </w:rPr>
            </w:pPr>
          </w:p>
        </w:tc>
      </w:tr>
    </w:tbl>
    <w:p w:rsidR="005C6ABF" w:rsidRPr="006B0EEE" w:rsidRDefault="005C6ABF" w:rsidP="005C6ABF">
      <w:pPr>
        <w:spacing w:before="240" w:after="120"/>
        <w:jc w:val="both"/>
        <w:rPr>
          <w:rFonts w:eastAsia="Arial Unicode MS"/>
          <w:bCs/>
          <w:sz w:val="22"/>
          <w:szCs w:val="22"/>
        </w:rPr>
      </w:pPr>
      <w:r w:rsidRPr="006B0EEE">
        <w:rPr>
          <w:rFonts w:eastAsia="Arial Unicode MS"/>
          <w:b/>
          <w:bCs/>
          <w:sz w:val="22"/>
          <w:szCs w:val="22"/>
        </w:rPr>
        <w:t>Примітка:</w:t>
      </w:r>
      <w:r w:rsidRPr="006B0EEE">
        <w:rPr>
          <w:rFonts w:eastAsia="Arial Unicode MS"/>
          <w:bCs/>
          <w:sz w:val="22"/>
          <w:szCs w:val="22"/>
        </w:rPr>
        <w:t xml:space="preserve"> Замість цієї Відомості робіт учасник конкурсу може надати кошторис, складений у відповідному програмному комплексі (наприклад, АВК). Перелік та обсяги робіт в цьому кошторисі мають точно відповідати переліку та обсягам, зазначеним ТК в складі тендерної документації </w:t>
      </w:r>
    </w:p>
    <w:p w:rsidR="00574ABC" w:rsidRDefault="00574ABC"/>
    <w:sectPr w:rsidR="00574ABC">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E6D" w:rsidRDefault="00FD0E6D" w:rsidP="008A04DE">
      <w:r>
        <w:separator/>
      </w:r>
    </w:p>
  </w:endnote>
  <w:endnote w:type="continuationSeparator" w:id="0">
    <w:p w:rsidR="00FD0E6D" w:rsidRDefault="00FD0E6D" w:rsidP="008A0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E6D" w:rsidRDefault="00FD0E6D" w:rsidP="008A04DE">
      <w:r>
        <w:separator/>
      </w:r>
    </w:p>
  </w:footnote>
  <w:footnote w:type="continuationSeparator" w:id="0">
    <w:p w:rsidR="00FD0E6D" w:rsidRDefault="00FD0E6D" w:rsidP="008A04DE">
      <w:r>
        <w:continuationSeparator/>
      </w:r>
    </w:p>
  </w:footnote>
  <w:footnote w:id="1">
    <w:p w:rsidR="008A04DE" w:rsidRDefault="008A04DE" w:rsidP="008A04DE">
      <w:pPr>
        <w:pStyle w:val="a"/>
      </w:pPr>
      <w:r w:rsidRPr="003210AD">
        <w:rPr>
          <w:rStyle w:val="a9"/>
        </w:rPr>
        <w:sym w:font="Symbol" w:char="F02A"/>
      </w:r>
      <w:r>
        <w:t xml:space="preserve"> дані Інструкції носять рекомендаційний характер. ТК може ускладнити вимоги до учасників тендеру, за необхідності</w:t>
      </w:r>
    </w:p>
  </w:footnote>
  <w:footnote w:id="2">
    <w:p w:rsidR="008A04DE" w:rsidRDefault="008A04DE" w:rsidP="008A04DE">
      <w:pPr>
        <w:pStyle w:val="a"/>
      </w:pPr>
      <w:r>
        <w:rPr>
          <w:rStyle w:val="a9"/>
        </w:rPr>
        <w:t>**</w:t>
      </w:r>
      <w:r>
        <w:t xml:space="preserve"> однією з більш достовірних форм підтвердження фінансової спроможності учасника може бути довідка про рух коштів на його банківському рахунку протягом попереднього періоду. Саме ці кошти, а не фіксований залишок на якусь дату, варто порівнювати з очікуваною вартістю робіт на об’єкті</w:t>
      </w:r>
    </w:p>
  </w:footnote>
  <w:footnote w:id="3">
    <w:p w:rsidR="008A04DE" w:rsidRDefault="008A04DE" w:rsidP="008A04DE">
      <w:pPr>
        <w:pStyle w:val="a"/>
      </w:pPr>
      <w:r>
        <w:rPr>
          <w:rStyle w:val="a9"/>
        </w:rPr>
        <w:footnoteRef/>
      </w:r>
      <w:r w:rsidRPr="000B1A89">
        <w:rPr>
          <w:lang w:val="ru-RU"/>
        </w:rPr>
        <w:t xml:space="preserve"> </w:t>
      </w:r>
      <w:r>
        <w:t xml:space="preserve">у процесі підготовки Конкурсної пропозиції, Підряднику не дозволяється вносити будь-які зміни до </w:t>
      </w:r>
      <w:proofErr w:type="spellStart"/>
      <w:r>
        <w:t>проформ</w:t>
      </w:r>
      <w:proofErr w:type="spellEnd"/>
      <w:r>
        <w:t>, включених до складу Тендерної документації.</w:t>
      </w:r>
    </w:p>
  </w:footnote>
  <w:footnote w:id="4">
    <w:p w:rsidR="008A04DE" w:rsidRDefault="008A04DE" w:rsidP="008A04DE">
      <w:pPr>
        <w:pStyle w:val="a"/>
      </w:pPr>
      <w:r>
        <w:rPr>
          <w:rStyle w:val="a9"/>
        </w:rPr>
        <w:footnoteRef/>
      </w:r>
      <w:r w:rsidRPr="000B1A89">
        <w:rPr>
          <w:lang w:val="ru-RU"/>
        </w:rPr>
        <w:t xml:space="preserve"> </w:t>
      </w:r>
      <w:r>
        <w:t>підрядник обов’язково повинен заповнити і підписати цей документ, поставити на ньому печатку.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1F0E9E8C"/>
    <w:lvl w:ilvl="0">
      <w:start w:val="1"/>
      <w:numFmt w:val="bullet"/>
      <w:pStyle w:val="a"/>
      <w:lvlText w:val=""/>
      <w:lvlJc w:val="left"/>
      <w:pPr>
        <w:tabs>
          <w:tab w:val="num" w:pos="1492"/>
        </w:tabs>
        <w:ind w:left="1492" w:hanging="360"/>
      </w:pPr>
      <w:rPr>
        <w:rFonts w:ascii="Symbol" w:hAnsi="Symbol" w:hint="default"/>
      </w:rPr>
    </w:lvl>
  </w:abstractNum>
  <w:abstractNum w:abstractNumId="1">
    <w:nsid w:val="04060CCA"/>
    <w:multiLevelType w:val="multilevel"/>
    <w:tmpl w:val="6EC4BE6A"/>
    <w:lvl w:ilvl="0">
      <w:start w:val="7"/>
      <w:numFmt w:val="decimal"/>
      <w:lvlText w:val="%1. "/>
      <w:legacy w:legacy="1" w:legacySpace="0" w:legacyIndent="283"/>
      <w:lvlJc w:val="left"/>
      <w:pPr>
        <w:ind w:left="283" w:hanging="283"/>
      </w:pPr>
      <w:rPr>
        <w:rFonts w:ascii="Times New Roman CYR" w:hAnsi="Times New Roman CYR" w:hint="default"/>
        <w:b w:val="0"/>
        <w:i w:val="0"/>
        <w:sz w:val="24"/>
        <w:u w:val="none"/>
      </w:rPr>
    </w:lvl>
    <w:lvl w:ilvl="1">
      <w:start w:val="4"/>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BC92A23"/>
    <w:multiLevelType w:val="hybridMultilevel"/>
    <w:tmpl w:val="5B18FB8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C245423"/>
    <w:multiLevelType w:val="singleLevel"/>
    <w:tmpl w:val="0A70D602"/>
    <w:lvl w:ilvl="0">
      <w:start w:val="16"/>
      <w:numFmt w:val="decimal"/>
      <w:lvlText w:val="%1. "/>
      <w:legacy w:legacy="1" w:legacySpace="0" w:legacyIndent="283"/>
      <w:lvlJc w:val="left"/>
      <w:pPr>
        <w:ind w:left="283" w:hanging="283"/>
      </w:pPr>
      <w:rPr>
        <w:rFonts w:ascii="Times New Roman CYR" w:hAnsi="Times New Roman CYR" w:hint="default"/>
        <w:b w:val="0"/>
        <w:i w:val="0"/>
        <w:sz w:val="24"/>
        <w:u w:val="none"/>
      </w:rPr>
    </w:lvl>
  </w:abstractNum>
  <w:abstractNum w:abstractNumId="4">
    <w:nsid w:val="464F79BF"/>
    <w:multiLevelType w:val="singleLevel"/>
    <w:tmpl w:val="854AFFE8"/>
    <w:lvl w:ilvl="0">
      <w:start w:val="2"/>
      <w:numFmt w:val="decimal"/>
      <w:lvlText w:val="%1. "/>
      <w:legacy w:legacy="1" w:legacySpace="0" w:legacyIndent="283"/>
      <w:lvlJc w:val="left"/>
      <w:pPr>
        <w:ind w:left="283" w:hanging="283"/>
      </w:pPr>
      <w:rPr>
        <w:rFonts w:ascii="Times New Roman CYR" w:hAnsi="Times New Roman CYR" w:hint="default"/>
        <w:b/>
        <w:i w:val="0"/>
        <w:sz w:val="24"/>
        <w:u w:val="none"/>
      </w:rPr>
    </w:lvl>
  </w:abstractNum>
  <w:abstractNum w:abstractNumId="5">
    <w:nsid w:val="4CAD3E65"/>
    <w:multiLevelType w:val="singleLevel"/>
    <w:tmpl w:val="C22A6DC8"/>
    <w:lvl w:ilvl="0">
      <w:start w:val="6"/>
      <w:numFmt w:val="decimal"/>
      <w:lvlText w:val="%1. "/>
      <w:legacy w:legacy="1" w:legacySpace="0" w:legacyIndent="283"/>
      <w:lvlJc w:val="left"/>
      <w:pPr>
        <w:ind w:left="283" w:hanging="283"/>
      </w:pPr>
      <w:rPr>
        <w:rFonts w:ascii="Times New Roman CYR" w:hAnsi="Times New Roman CYR" w:hint="default"/>
        <w:b w:val="0"/>
        <w:i w:val="0"/>
        <w:sz w:val="24"/>
        <w:u w:val="none"/>
      </w:rPr>
    </w:lvl>
  </w:abstractNum>
  <w:abstractNum w:abstractNumId="6">
    <w:nsid w:val="672D7093"/>
    <w:multiLevelType w:val="singleLevel"/>
    <w:tmpl w:val="A022B216"/>
    <w:lvl w:ilvl="0">
      <w:start w:val="1"/>
      <w:numFmt w:val="decimal"/>
      <w:lvlText w:val="%1. "/>
      <w:legacy w:legacy="1" w:legacySpace="0" w:legacyIndent="283"/>
      <w:lvlJc w:val="left"/>
      <w:pPr>
        <w:ind w:left="283" w:hanging="283"/>
      </w:pPr>
      <w:rPr>
        <w:rFonts w:ascii="Times New Roman CYR" w:hAnsi="Times New Roman CYR" w:hint="default"/>
        <w:b w:val="0"/>
        <w:i w:val="0"/>
        <w:sz w:val="28"/>
        <w:szCs w:val="28"/>
        <w:u w:val="none"/>
      </w:rPr>
    </w:lvl>
  </w:abstractNum>
  <w:abstractNum w:abstractNumId="7">
    <w:nsid w:val="79C97746"/>
    <w:multiLevelType w:val="singleLevel"/>
    <w:tmpl w:val="6860C99C"/>
    <w:lvl w:ilvl="0">
      <w:start w:val="1"/>
      <w:numFmt w:val="decimal"/>
      <w:lvlText w:val="%1. "/>
      <w:legacy w:legacy="1" w:legacySpace="0" w:legacyIndent="283"/>
      <w:lvlJc w:val="left"/>
      <w:pPr>
        <w:ind w:left="283" w:hanging="283"/>
      </w:pPr>
      <w:rPr>
        <w:rFonts w:ascii="Times New Roman CYR" w:hAnsi="Times New Roman CYR" w:hint="default"/>
        <w:b w:val="0"/>
        <w:i w:val="0"/>
        <w:sz w:val="24"/>
        <w:u w:val="none"/>
      </w:rPr>
    </w:lvl>
  </w:abstractNum>
  <w:num w:numId="1">
    <w:abstractNumId w:val="6"/>
    <w:lvlOverride w:ilvl="0">
      <w:startOverride w:val="1"/>
    </w:lvlOverride>
  </w:num>
  <w:num w:numId="2">
    <w:abstractNumId w:val="0"/>
  </w:num>
  <w:num w:numId="3">
    <w:abstractNumId w:val="7"/>
  </w:num>
  <w:num w:numId="4">
    <w:abstractNumId w:val="5"/>
  </w:num>
  <w:num w:numId="5">
    <w:abstractNumId w:val="1"/>
  </w:num>
  <w:num w:numId="6">
    <w:abstractNumId w:val="3"/>
  </w:num>
  <w:num w:numId="7">
    <w:abstractNumId w:val="4"/>
  </w:num>
  <w:num w:numId="8">
    <w:abstractNumId w:val="1"/>
    <w:lvlOverride w:ilvl="0">
      <w:lvl w:ilvl="0">
        <w:start w:val="1"/>
        <w:numFmt w:val="decimal"/>
        <w:lvlText w:val="%1. "/>
        <w:legacy w:legacy="1" w:legacySpace="0" w:legacyIndent="283"/>
        <w:lvlJc w:val="left"/>
        <w:pPr>
          <w:ind w:left="283" w:hanging="283"/>
        </w:pPr>
        <w:rPr>
          <w:rFonts w:ascii="Times New Roman CYR" w:hAnsi="Times New Roman CYR" w:hint="default"/>
          <w:b/>
          <w:i w:val="0"/>
          <w:sz w:val="24"/>
          <w:u w:val="none"/>
        </w:rPr>
      </w:lvl>
    </w:lvlOverride>
  </w:num>
  <w:num w:numId="9">
    <w:abstractNumId w:val="3"/>
    <w:lvlOverride w:ilvl="0">
      <w:lvl w:ilvl="0">
        <w:start w:val="1"/>
        <w:numFmt w:val="decimal"/>
        <w:lvlText w:val="%1. "/>
        <w:legacy w:legacy="1" w:legacySpace="0" w:legacyIndent="283"/>
        <w:lvlJc w:val="left"/>
        <w:pPr>
          <w:ind w:left="463" w:hanging="283"/>
        </w:pPr>
        <w:rPr>
          <w:rFonts w:ascii="Times New Roman CYR" w:hAnsi="Times New Roman CYR" w:hint="default"/>
          <w:b/>
          <w:i w:val="0"/>
          <w:sz w:val="24"/>
          <w:u w:val="none"/>
        </w:rPr>
      </w:lvl>
    </w:lvlOverride>
  </w:num>
  <w:num w:numId="10">
    <w:abstractNumId w:val="4"/>
    <w:lvlOverride w:ilvl="0">
      <w:lvl w:ilvl="0">
        <w:start w:val="2"/>
        <w:numFmt w:val="decimal"/>
        <w:lvlText w:val="%1. "/>
        <w:lvlJc w:val="left"/>
        <w:pPr>
          <w:tabs>
            <w:tab w:val="num" w:pos="360"/>
          </w:tabs>
          <w:ind w:left="283" w:hanging="283"/>
        </w:pPr>
        <w:rPr>
          <w:rFonts w:ascii="Times New Roman CYR" w:hAnsi="Times New Roman CYR" w:hint="default"/>
          <w:b/>
          <w:i w:val="0"/>
          <w:sz w:val="24"/>
          <w:u w:val="none"/>
        </w:rPr>
      </w:lvl>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ABC"/>
    <w:rsid w:val="00026356"/>
    <w:rsid w:val="00184F2B"/>
    <w:rsid w:val="00437C1E"/>
    <w:rsid w:val="004E2E7D"/>
    <w:rsid w:val="005738E8"/>
    <w:rsid w:val="00574ABC"/>
    <w:rsid w:val="005C6ABF"/>
    <w:rsid w:val="005E0F71"/>
    <w:rsid w:val="00644F29"/>
    <w:rsid w:val="007D32FF"/>
    <w:rsid w:val="007D5D5F"/>
    <w:rsid w:val="00866409"/>
    <w:rsid w:val="008A04DE"/>
    <w:rsid w:val="00954438"/>
    <w:rsid w:val="00A7605D"/>
    <w:rsid w:val="00B27C1F"/>
    <w:rsid w:val="00B821A5"/>
    <w:rsid w:val="00CA4FE3"/>
    <w:rsid w:val="00DD34F1"/>
    <w:rsid w:val="00DE61C9"/>
    <w:rsid w:val="00DF3A95"/>
    <w:rsid w:val="00FD0E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0E41D6-F25B-4CD9-95B3-F268AB0EA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74ABC"/>
    <w:pPr>
      <w:spacing w:after="0" w:line="240" w:lineRule="auto"/>
    </w:pPr>
    <w:rPr>
      <w:rFonts w:ascii="Times New Roman" w:eastAsia="Times New Roman" w:hAnsi="Times New Roman" w:cs="Times New Roman"/>
      <w:sz w:val="24"/>
      <w:szCs w:val="24"/>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8A04DE"/>
    <w:pPr>
      <w:tabs>
        <w:tab w:val="center" w:pos="4819"/>
        <w:tab w:val="right" w:pos="9639"/>
      </w:tabs>
    </w:pPr>
  </w:style>
  <w:style w:type="character" w:customStyle="1" w:styleId="a5">
    <w:name w:val="Верхний колонтитул Знак"/>
    <w:basedOn w:val="a1"/>
    <w:link w:val="a4"/>
    <w:rsid w:val="008A04DE"/>
    <w:rPr>
      <w:rFonts w:ascii="Times New Roman" w:eastAsia="Times New Roman" w:hAnsi="Times New Roman" w:cs="Times New Roman"/>
      <w:sz w:val="24"/>
      <w:szCs w:val="24"/>
      <w:lang w:eastAsia="uk-UA"/>
    </w:rPr>
  </w:style>
  <w:style w:type="paragraph" w:styleId="a">
    <w:name w:val="footnote text"/>
    <w:basedOn w:val="a0"/>
    <w:link w:val="a6"/>
    <w:semiHidden/>
    <w:rsid w:val="008A04DE"/>
    <w:pPr>
      <w:numPr>
        <w:numId w:val="2"/>
      </w:numPr>
      <w:tabs>
        <w:tab w:val="clear" w:pos="1492"/>
      </w:tabs>
      <w:ind w:left="0" w:firstLine="0"/>
    </w:pPr>
    <w:rPr>
      <w:sz w:val="20"/>
      <w:szCs w:val="20"/>
      <w:lang w:eastAsia="en-US"/>
    </w:rPr>
  </w:style>
  <w:style w:type="character" w:customStyle="1" w:styleId="a6">
    <w:name w:val="Текст сноски Знак"/>
    <w:basedOn w:val="a1"/>
    <w:link w:val="a"/>
    <w:semiHidden/>
    <w:rsid w:val="008A04DE"/>
    <w:rPr>
      <w:rFonts w:ascii="Times New Roman" w:eastAsia="Times New Roman" w:hAnsi="Times New Roman" w:cs="Times New Roman"/>
      <w:sz w:val="20"/>
      <w:szCs w:val="20"/>
    </w:rPr>
  </w:style>
  <w:style w:type="paragraph" w:styleId="a7">
    <w:name w:val="Body Text Indent"/>
    <w:basedOn w:val="a0"/>
    <w:link w:val="a8"/>
    <w:rsid w:val="008A04DE"/>
    <w:pPr>
      <w:spacing w:after="120"/>
      <w:ind w:left="283"/>
    </w:pPr>
  </w:style>
  <w:style w:type="character" w:customStyle="1" w:styleId="a8">
    <w:name w:val="Основной текст с отступом Знак"/>
    <w:basedOn w:val="a1"/>
    <w:link w:val="a7"/>
    <w:rsid w:val="008A04DE"/>
    <w:rPr>
      <w:rFonts w:ascii="Times New Roman" w:eastAsia="Times New Roman" w:hAnsi="Times New Roman" w:cs="Times New Roman"/>
      <w:sz w:val="24"/>
      <w:szCs w:val="24"/>
      <w:lang w:eastAsia="uk-UA"/>
    </w:rPr>
  </w:style>
  <w:style w:type="character" w:styleId="a9">
    <w:name w:val="footnote reference"/>
    <w:semiHidden/>
    <w:rsid w:val="008A04DE"/>
    <w:rPr>
      <w:vertAlign w:val="superscript"/>
    </w:rPr>
  </w:style>
  <w:style w:type="character" w:styleId="aa">
    <w:name w:val="Hyperlink"/>
    <w:basedOn w:val="a1"/>
    <w:uiPriority w:val="99"/>
    <w:unhideWhenUsed/>
    <w:rsid w:val="00026356"/>
    <w:rPr>
      <w:color w:val="0563C1" w:themeColor="hyperlink"/>
      <w:u w:val="single"/>
    </w:rPr>
  </w:style>
  <w:style w:type="paragraph" w:styleId="ab">
    <w:name w:val="List Paragraph"/>
    <w:basedOn w:val="a0"/>
    <w:uiPriority w:val="34"/>
    <w:qFormat/>
    <w:rsid w:val="005738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10878</Words>
  <Characters>6201</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komp</cp:lastModifiedBy>
  <cp:revision>2</cp:revision>
  <dcterms:created xsi:type="dcterms:W3CDTF">2017-07-26T11:49:00Z</dcterms:created>
  <dcterms:modified xsi:type="dcterms:W3CDTF">2017-07-26T11:49:00Z</dcterms:modified>
</cp:coreProperties>
</file>