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65" w:rsidRPr="00817EF3" w:rsidRDefault="00A86B65" w:rsidP="00A86B65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0.7pt;height:53.2pt" o:ole="" o:preferrelative="t" stroked="f">
            <v:imagedata r:id="rId9" o:title=""/>
          </v:rect>
          <o:OLEObject Type="Embed" ProgID="StaticMetafile" ShapeID="rectole0000000000" DrawAspect="Content" ObjectID="_1679692489" r:id="rId10"/>
        </w:object>
      </w:r>
    </w:p>
    <w:p w:rsidR="00A86B65" w:rsidRPr="0000076A" w:rsidRDefault="0000076A" w:rsidP="0000076A">
      <w:pPr>
        <w:tabs>
          <w:tab w:val="center" w:pos="5168"/>
          <w:tab w:val="left" w:pos="809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A86B65" w:rsidRPr="00817EF3">
        <w:rPr>
          <w:sz w:val="28"/>
          <w:szCs w:val="28"/>
        </w:rPr>
        <w:t>А</w:t>
      </w:r>
    </w:p>
    <w:p w:rsidR="00A86B65" w:rsidRPr="00817EF3" w:rsidRDefault="00A86B65" w:rsidP="0000076A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A86B65" w:rsidRPr="00817EF3" w:rsidRDefault="00A86B65" w:rsidP="0000076A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A86B65" w:rsidRPr="00817EF3" w:rsidRDefault="0000076A" w:rsidP="00000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A86B65" w:rsidRPr="00817EF3">
        <w:rPr>
          <w:b/>
          <w:sz w:val="28"/>
          <w:szCs w:val="28"/>
        </w:rPr>
        <w:t>КОМІТЕТ</w:t>
      </w:r>
    </w:p>
    <w:p w:rsidR="00A86B65" w:rsidRPr="00817EF3" w:rsidRDefault="0000076A" w:rsidP="0000076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A86B65" w:rsidRPr="00817EF3">
        <w:rPr>
          <w:b/>
          <w:sz w:val="28"/>
          <w:szCs w:val="28"/>
        </w:rPr>
        <w:t>Я</w:t>
      </w:r>
    </w:p>
    <w:p w:rsidR="00A86B65" w:rsidRPr="00817EF3" w:rsidRDefault="00A86B65" w:rsidP="00A86B65">
      <w:pPr>
        <w:rPr>
          <w:sz w:val="28"/>
          <w:szCs w:val="28"/>
        </w:rPr>
      </w:pPr>
    </w:p>
    <w:p w:rsidR="00A86B65" w:rsidRPr="00817EF3" w:rsidRDefault="00A86B65" w:rsidP="00A86B65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86B65" w:rsidRPr="00817EF3" w:rsidTr="00D01987">
        <w:tc>
          <w:tcPr>
            <w:tcW w:w="3828" w:type="dxa"/>
            <w:hideMark/>
          </w:tcPr>
          <w:p w:rsidR="00A86B65" w:rsidRPr="00817EF3" w:rsidRDefault="00A86B65" w:rsidP="009A6E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9A6E46">
              <w:rPr>
                <w:sz w:val="28"/>
                <w:szCs w:val="28"/>
                <w:lang w:val="uk-UA" w:eastAsia="en-US"/>
              </w:rPr>
              <w:t xml:space="preserve">… квітня 2021 </w:t>
            </w:r>
            <w:r w:rsidRPr="00817EF3">
              <w:rPr>
                <w:sz w:val="28"/>
                <w:szCs w:val="28"/>
                <w:lang w:eastAsia="en-US"/>
              </w:rPr>
              <w:t>року</w:t>
            </w:r>
          </w:p>
        </w:tc>
        <w:tc>
          <w:tcPr>
            <w:tcW w:w="2040" w:type="dxa"/>
            <w:hideMark/>
          </w:tcPr>
          <w:p w:rsidR="00A86B65" w:rsidRPr="00817EF3" w:rsidRDefault="00A86B65" w:rsidP="00D0198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86B65" w:rsidRPr="00817EF3" w:rsidRDefault="00A86B65" w:rsidP="009A6E46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9A6E46">
              <w:rPr>
                <w:sz w:val="28"/>
                <w:szCs w:val="28"/>
                <w:lang w:val="uk-UA" w:eastAsia="en-US"/>
              </w:rPr>
              <w:t>….</w:t>
            </w: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86B65" w:rsidRPr="00817EF3" w:rsidTr="00D01987">
        <w:tc>
          <w:tcPr>
            <w:tcW w:w="3828" w:type="dxa"/>
          </w:tcPr>
          <w:p w:rsidR="00A86B65" w:rsidRPr="00817EF3" w:rsidRDefault="00A86B65" w:rsidP="00D0198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A86B65" w:rsidRPr="00817EF3" w:rsidRDefault="00A86B65" w:rsidP="00D019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A86B65" w:rsidRPr="00817EF3" w:rsidRDefault="00A86B65" w:rsidP="00D019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B62444" w:rsidRDefault="00162540" w:rsidP="00D01987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62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6B65" w:rsidRPr="009A6E46">
        <w:rPr>
          <w:rFonts w:ascii="Times New Roman" w:hAnsi="Times New Roman" w:cs="Times New Roman"/>
          <w:b/>
          <w:sz w:val="28"/>
          <w:szCs w:val="28"/>
          <w:lang w:val="uk-UA"/>
        </w:rPr>
        <w:t>погодження</w:t>
      </w:r>
      <w:r w:rsidR="00B62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338B" w:rsidRP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B62444" w:rsidRDefault="00B62444" w:rsidP="00D01987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01987">
        <w:rPr>
          <w:rFonts w:ascii="Times New Roman" w:hAnsi="Times New Roman" w:cs="Times New Roman"/>
          <w:b/>
          <w:sz w:val="28"/>
          <w:szCs w:val="28"/>
          <w:lang w:val="uk-UA"/>
        </w:rPr>
        <w:t>нергозбереження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1987">
        <w:rPr>
          <w:rFonts w:ascii="Times New Roman" w:hAnsi="Times New Roman" w:cs="Times New Roman"/>
          <w:b/>
          <w:sz w:val="28"/>
          <w:szCs w:val="28"/>
          <w:lang w:val="uk-UA"/>
        </w:rPr>
        <w:t>та енергоефективності</w:t>
      </w:r>
      <w:r w:rsid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2444" w:rsidRDefault="009A6E46" w:rsidP="00D01987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E46">
        <w:rPr>
          <w:rFonts w:ascii="Times New Roman" w:hAnsi="Times New Roman" w:cs="Times New Roman"/>
          <w:b/>
          <w:sz w:val="28"/>
          <w:szCs w:val="28"/>
        </w:rPr>
        <w:t xml:space="preserve">Новоборівської </w:t>
      </w:r>
      <w:r w:rsidR="00B62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</w:t>
      </w:r>
    </w:p>
    <w:p w:rsidR="009A6E46" w:rsidRPr="009A6E46" w:rsidRDefault="00B62444" w:rsidP="009A6E46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>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 xml:space="preserve"> на 2021-202</w:t>
      </w:r>
      <w:r w:rsidR="007E2D4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07338B" w:rsidRPr="0007338B" w:rsidRDefault="0007338B" w:rsidP="009A6E46">
      <w:pPr>
        <w:jc w:val="both"/>
        <w:rPr>
          <w:b/>
          <w:sz w:val="28"/>
          <w:szCs w:val="28"/>
          <w:lang w:val="uk-UA"/>
        </w:rPr>
      </w:pPr>
    </w:p>
    <w:p w:rsidR="00162540" w:rsidRPr="00B62444" w:rsidRDefault="00615DC7" w:rsidP="00FB758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1E29E6"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D01987" w:rsidRPr="00B62444">
        <w:rPr>
          <w:sz w:val="28"/>
          <w:szCs w:val="28"/>
          <w:shd w:val="clear" w:color="auto" w:fill="FFFFFF"/>
          <w:lang w:val="uk-UA"/>
        </w:rPr>
        <w:t>Керуючись Законами України:</w:t>
      </w:r>
      <w:r w:rsidR="00D01987" w:rsidRPr="00B62444">
        <w:rPr>
          <w:sz w:val="28"/>
          <w:szCs w:val="28"/>
          <w:shd w:val="clear" w:color="auto" w:fill="FFFFFF"/>
        </w:rPr>
        <w:t> </w:t>
      </w:r>
      <w:r w:rsidR="00D01987" w:rsidRPr="00B62444">
        <w:rPr>
          <w:sz w:val="28"/>
          <w:szCs w:val="28"/>
          <w:shd w:val="clear" w:color="auto" w:fill="FFFFFF"/>
          <w:lang w:val="uk-UA"/>
        </w:rPr>
        <w:t xml:space="preserve"> «Про енергозбереження», «Про альтернативні джерела енергії», «Про альтернативні види палива», «Про місцеве самоврядування в Україні», </w:t>
      </w:r>
      <w:r w:rsidR="00D01987" w:rsidRPr="00B62444">
        <w:rPr>
          <w:sz w:val="28"/>
          <w:szCs w:val="28"/>
          <w:shd w:val="clear" w:color="auto" w:fill="FFFFFF"/>
        </w:rPr>
        <w:t> </w:t>
      </w:r>
      <w:r w:rsidR="00D01987" w:rsidRPr="00B62444">
        <w:rPr>
          <w:sz w:val="28"/>
          <w:szCs w:val="28"/>
          <w:shd w:val="clear" w:color="auto" w:fill="FFFFFF"/>
          <w:lang w:val="uk-UA"/>
        </w:rPr>
        <w:t>розпорядження Кабінету Міністрів України від 24 червня 2013 року № 669-р «Про затвердження плану заходів щодо виконання регіональних та місцевих програм підвищення енергоефективності», з метою забезпечення ефективним використанням паливно-енергетичних ресурсів у бюджетній сфері громади, сфері теплопостачання та надання комунальних послуг, скорочення бюджетних витрат на використання енергоресурсів, підвищення культури енергоспоживання</w:t>
      </w:r>
      <w:r w:rsidR="00D01987" w:rsidRPr="00B62444">
        <w:rPr>
          <w:sz w:val="28"/>
          <w:szCs w:val="28"/>
          <w:lang w:val="uk-UA"/>
        </w:rPr>
        <w:t>,</w:t>
      </w:r>
      <w:r w:rsidR="001E29E6" w:rsidRPr="00B62444">
        <w:rPr>
          <w:sz w:val="28"/>
          <w:szCs w:val="28"/>
          <w:lang w:val="uk-UA"/>
        </w:rPr>
        <w:t xml:space="preserve">  </w:t>
      </w:r>
      <w:r w:rsidR="00A86B65" w:rsidRPr="00B62444">
        <w:rPr>
          <w:sz w:val="28"/>
          <w:szCs w:val="28"/>
          <w:lang w:val="uk-UA"/>
        </w:rPr>
        <w:t xml:space="preserve">виконавчий комітет 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5513ED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162540">
        <w:rPr>
          <w:sz w:val="28"/>
          <w:szCs w:val="28"/>
          <w:lang w:val="uk-UA"/>
        </w:rPr>
        <w:t>:</w:t>
      </w:r>
    </w:p>
    <w:p w:rsidR="00A86B65" w:rsidRDefault="00A86B65" w:rsidP="00A86B65">
      <w:pPr>
        <w:pStyle w:val="a9"/>
        <w:ind w:left="0"/>
        <w:jc w:val="both"/>
        <w:rPr>
          <w:sz w:val="28"/>
          <w:szCs w:val="28"/>
          <w:lang w:val="uk-UA"/>
        </w:rPr>
      </w:pPr>
    </w:p>
    <w:p w:rsidR="00162540" w:rsidRPr="009A6E46" w:rsidRDefault="00A86B65" w:rsidP="009A6E46">
      <w:pPr>
        <w:pStyle w:val="ae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E46">
        <w:rPr>
          <w:rFonts w:ascii="Times New Roman" w:hAnsi="Times New Roman" w:cs="Times New Roman"/>
          <w:sz w:val="28"/>
          <w:szCs w:val="28"/>
          <w:lang w:val="uk-UA"/>
        </w:rPr>
        <w:t>1. Погодити</w:t>
      </w:r>
      <w:r w:rsidR="00162540" w:rsidRPr="009A6E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586" w:rsidRPr="009A6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Програму </w:t>
      </w:r>
      <w:r w:rsidR="00B62444">
        <w:rPr>
          <w:rFonts w:ascii="Times New Roman" w:hAnsi="Times New Roman" w:cs="Times New Roman"/>
          <w:sz w:val="28"/>
          <w:szCs w:val="28"/>
          <w:lang w:val="uk-UA"/>
        </w:rPr>
        <w:t>енергозбереження та енергоефективності</w:t>
      </w:r>
      <w:r w:rsidR="009A6E46" w:rsidRPr="009A6E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E46" w:rsidRPr="009A6E46">
        <w:rPr>
          <w:rFonts w:ascii="Times New Roman" w:hAnsi="Times New Roman" w:cs="Times New Roman"/>
          <w:sz w:val="28"/>
          <w:szCs w:val="28"/>
        </w:rPr>
        <w:t xml:space="preserve"> Новоборівської </w:t>
      </w:r>
      <w:r w:rsidR="009A6E46" w:rsidRPr="009A6E4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9A6E46" w:rsidRPr="009A6E46">
        <w:rPr>
          <w:rFonts w:ascii="Times New Roman" w:hAnsi="Times New Roman" w:cs="Times New Roman"/>
          <w:sz w:val="28"/>
          <w:szCs w:val="28"/>
        </w:rPr>
        <w:t>громади на 2021-202</w:t>
      </w:r>
      <w:r w:rsidR="007E2D4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A6E46" w:rsidRPr="009A6E46">
        <w:rPr>
          <w:rFonts w:ascii="Times New Roman" w:hAnsi="Times New Roman" w:cs="Times New Roman"/>
          <w:sz w:val="28"/>
          <w:szCs w:val="28"/>
        </w:rPr>
        <w:t xml:space="preserve"> роки</w:t>
      </w:r>
      <w:r w:rsidR="009A6E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6E46" w:rsidRPr="009A6E46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BA7A9C" w:rsidRPr="009A6E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2540" w:rsidRDefault="00162540" w:rsidP="00C357F2">
      <w:pPr>
        <w:rPr>
          <w:lang w:val="uk-UA"/>
        </w:rPr>
      </w:pPr>
    </w:p>
    <w:p w:rsidR="00A86B65" w:rsidRDefault="00A86B65" w:rsidP="00A86B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Винести  програму на розгляд та затвердження чергової сесії Новоборівської селищної ради.</w:t>
      </w:r>
    </w:p>
    <w:p w:rsidR="00A86B65" w:rsidRPr="009E6A1B" w:rsidRDefault="00A86B65" w:rsidP="00A86B65">
      <w:pPr>
        <w:ind w:firstLine="708"/>
        <w:jc w:val="both"/>
        <w:rPr>
          <w:sz w:val="28"/>
          <w:szCs w:val="28"/>
          <w:lang w:val="uk-UA"/>
        </w:rPr>
      </w:pPr>
    </w:p>
    <w:p w:rsidR="00A86B65" w:rsidRPr="0036088D" w:rsidRDefault="00A86B65" w:rsidP="00A86B6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36088D">
        <w:rPr>
          <w:sz w:val="28"/>
        </w:rPr>
        <w:t xml:space="preserve">. Контроль за виконанням </w:t>
      </w:r>
      <w:proofErr w:type="gramStart"/>
      <w:r w:rsidRPr="0036088D">
        <w:rPr>
          <w:sz w:val="28"/>
        </w:rPr>
        <w:t>р</w:t>
      </w:r>
      <w:proofErr w:type="gramEnd"/>
      <w:r w:rsidRPr="0036088D">
        <w:rPr>
          <w:sz w:val="28"/>
        </w:rPr>
        <w:t xml:space="preserve">ішення покласти на постійну комісію з питань </w:t>
      </w:r>
      <w:r>
        <w:rPr>
          <w:sz w:val="28"/>
          <w:lang w:val="uk-UA"/>
        </w:rPr>
        <w:t>бюджету, фінансів і цін</w:t>
      </w:r>
      <w:r w:rsidRPr="0036088D">
        <w:rPr>
          <w:sz w:val="28"/>
        </w:rPr>
        <w:t xml:space="preserve"> (голова комісії </w:t>
      </w:r>
      <w:r>
        <w:rPr>
          <w:sz w:val="28"/>
          <w:lang w:val="uk-UA"/>
        </w:rPr>
        <w:t>Наталія ШКОРБОТ</w:t>
      </w:r>
      <w:r w:rsidRPr="0036088D">
        <w:rPr>
          <w:sz w:val="28"/>
        </w:rPr>
        <w:t>).</w:t>
      </w:r>
    </w:p>
    <w:p w:rsidR="00A86B65" w:rsidRPr="0036088D" w:rsidRDefault="00A86B65" w:rsidP="00A86B65">
      <w:pPr>
        <w:ind w:firstLine="567"/>
        <w:jc w:val="both"/>
        <w:rPr>
          <w:sz w:val="28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E29E6" w:rsidRDefault="001E29E6" w:rsidP="00C357F2">
      <w:pPr>
        <w:rPr>
          <w:lang w:val="uk-UA"/>
        </w:rPr>
      </w:pPr>
    </w:p>
    <w:p w:rsidR="00162540" w:rsidRDefault="008E23B3" w:rsidP="008E23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2540">
        <w:rPr>
          <w:sz w:val="28"/>
          <w:szCs w:val="28"/>
          <w:lang w:val="uk-UA"/>
        </w:rPr>
        <w:t>Селищний голова</w:t>
      </w:r>
      <w:r w:rsidR="00162540"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 w:rsidR="00162540">
        <w:rPr>
          <w:sz w:val="28"/>
          <w:szCs w:val="28"/>
          <w:lang w:val="uk-UA"/>
        </w:rPr>
        <w:tab/>
      </w:r>
      <w:r w:rsidR="00162540">
        <w:rPr>
          <w:sz w:val="28"/>
          <w:szCs w:val="28"/>
          <w:lang w:val="uk-UA"/>
        </w:rPr>
        <w:tab/>
        <w:t xml:space="preserve">  </w:t>
      </w:r>
      <w:r w:rsidR="00162540"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 w:rsidR="00162540">
        <w:rPr>
          <w:sz w:val="28"/>
          <w:szCs w:val="28"/>
          <w:lang w:val="uk-UA"/>
        </w:rPr>
        <w:t xml:space="preserve"> </w:t>
      </w:r>
      <w:r w:rsidR="00A86B65">
        <w:rPr>
          <w:sz w:val="28"/>
          <w:szCs w:val="28"/>
          <w:lang w:val="uk-UA"/>
        </w:rPr>
        <w:t xml:space="preserve">Григорій </w:t>
      </w:r>
      <w:r w:rsidR="00162540">
        <w:rPr>
          <w:sz w:val="28"/>
          <w:szCs w:val="28"/>
          <w:lang w:val="uk-UA"/>
        </w:rPr>
        <w:t xml:space="preserve"> </w:t>
      </w:r>
      <w:r w:rsidR="00A86B65">
        <w:rPr>
          <w:sz w:val="28"/>
          <w:szCs w:val="28"/>
          <w:lang w:val="uk-UA"/>
        </w:rPr>
        <w:t xml:space="preserve">РУДЮК </w:t>
      </w: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E29E6" w:rsidRPr="00B62444" w:rsidRDefault="00B62444" w:rsidP="00B62444">
      <w:pPr>
        <w:pStyle w:val="1"/>
        <w:tabs>
          <w:tab w:val="left" w:pos="6480"/>
        </w:tabs>
      </w:pPr>
      <w:r w:rsidRPr="00B62444">
        <w:rPr>
          <w:rFonts w:eastAsia="Arial"/>
        </w:rPr>
        <w:lastRenderedPageBreak/>
        <w:t xml:space="preserve"> </w:t>
      </w:r>
      <w:r w:rsidR="001E29E6" w:rsidRPr="00B62444">
        <w:rPr>
          <w:rFonts w:eastAsia="Arial"/>
        </w:rPr>
        <w:t xml:space="preserve">                                                                                             </w:t>
      </w:r>
      <w:r>
        <w:rPr>
          <w:rFonts w:eastAsia="Arial"/>
        </w:rPr>
        <w:t xml:space="preserve">           </w:t>
      </w:r>
      <w:r w:rsidR="001E29E6" w:rsidRPr="00B62444">
        <w:rPr>
          <w:rFonts w:eastAsia="Arial"/>
        </w:rPr>
        <w:t xml:space="preserve"> </w:t>
      </w:r>
      <w:r w:rsidR="005513ED" w:rsidRPr="00B62444">
        <w:rPr>
          <w:rFonts w:eastAsia="Arial"/>
        </w:rPr>
        <w:t>ПОГОДЖЕНО</w:t>
      </w:r>
      <w:r w:rsidR="001E29E6" w:rsidRPr="00B62444">
        <w:rPr>
          <w:rFonts w:eastAsia="Arial"/>
        </w:rPr>
        <w:t>:</w:t>
      </w:r>
    </w:p>
    <w:p w:rsidR="00EB1899" w:rsidRPr="00B62444" w:rsidRDefault="001E29E6" w:rsidP="00B62444">
      <w:pPr>
        <w:tabs>
          <w:tab w:val="left" w:pos="6480"/>
        </w:tabs>
        <w:rPr>
          <w:rFonts w:eastAsia="Arial"/>
          <w:bCs/>
          <w:lang w:val="uk-UA"/>
        </w:rPr>
      </w:pPr>
      <w:r w:rsidRPr="00B62444">
        <w:rPr>
          <w:rFonts w:eastAsia="Arial"/>
          <w:bCs/>
          <w:lang w:val="uk-UA"/>
        </w:rPr>
        <w:t xml:space="preserve">                                                                                             </w:t>
      </w:r>
      <w:r w:rsidR="00B62444">
        <w:rPr>
          <w:rFonts w:eastAsia="Arial"/>
          <w:bCs/>
          <w:lang w:val="uk-UA"/>
        </w:rPr>
        <w:t xml:space="preserve">           </w:t>
      </w:r>
      <w:r w:rsidRPr="00B62444">
        <w:rPr>
          <w:rFonts w:eastAsia="Arial"/>
          <w:bCs/>
          <w:lang w:val="uk-UA"/>
        </w:rPr>
        <w:t xml:space="preserve">  </w:t>
      </w:r>
      <w:r w:rsidR="00B62444">
        <w:rPr>
          <w:rFonts w:eastAsia="Arial"/>
          <w:bCs/>
          <w:lang w:val="uk-UA"/>
        </w:rPr>
        <w:t>р</w:t>
      </w:r>
      <w:r w:rsidR="005513ED" w:rsidRPr="00B62444">
        <w:rPr>
          <w:rFonts w:eastAsia="Arial"/>
          <w:bCs/>
          <w:lang w:val="uk-UA"/>
        </w:rPr>
        <w:t xml:space="preserve">ішенням виконкому </w:t>
      </w:r>
    </w:p>
    <w:p w:rsidR="005513ED" w:rsidRPr="00B62444" w:rsidRDefault="00B62444" w:rsidP="00B62444">
      <w:pPr>
        <w:tabs>
          <w:tab w:val="left" w:pos="6480"/>
        </w:tabs>
        <w:ind w:left="4956" w:firstLine="708"/>
        <w:rPr>
          <w:sz w:val="28"/>
          <w:szCs w:val="28"/>
          <w:lang w:val="uk-UA"/>
        </w:rPr>
      </w:pPr>
      <w:r>
        <w:rPr>
          <w:rFonts w:eastAsia="Arial"/>
          <w:bCs/>
          <w:lang w:val="uk-UA"/>
        </w:rPr>
        <w:t xml:space="preserve">           </w:t>
      </w:r>
      <w:r w:rsidR="00BC5400" w:rsidRPr="00B62444">
        <w:rPr>
          <w:rFonts w:eastAsia="Arial"/>
          <w:bCs/>
          <w:lang w:val="uk-UA"/>
        </w:rPr>
        <w:t xml:space="preserve">від </w:t>
      </w:r>
      <w:r>
        <w:rPr>
          <w:rFonts w:eastAsia="Arial"/>
          <w:bCs/>
          <w:lang w:val="uk-UA"/>
        </w:rPr>
        <w:t>___.04</w:t>
      </w:r>
      <w:r w:rsidR="008E23B3" w:rsidRPr="00B62444">
        <w:rPr>
          <w:rFonts w:eastAsia="Arial"/>
          <w:bCs/>
          <w:lang w:val="uk-UA"/>
        </w:rPr>
        <w:t>.2021р. №</w:t>
      </w:r>
      <w:r w:rsidR="0000076A" w:rsidRPr="00B62444">
        <w:rPr>
          <w:rFonts w:eastAsia="Arial"/>
          <w:bCs/>
          <w:lang w:val="uk-UA"/>
        </w:rPr>
        <w:t xml:space="preserve"> </w:t>
      </w:r>
      <w:r>
        <w:rPr>
          <w:rFonts w:eastAsia="Arial"/>
          <w:bCs/>
          <w:lang w:val="uk-UA"/>
        </w:rPr>
        <w:t>___</w:t>
      </w:r>
    </w:p>
    <w:p w:rsidR="001E29E6" w:rsidRPr="00B62444" w:rsidRDefault="001E29E6" w:rsidP="00B62444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1E29E6" w:rsidRDefault="001E29E6" w:rsidP="00B62444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</w:rPr>
      </w:pP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B62444">
        <w:rPr>
          <w:rFonts w:ascii="Times New Roman" w:hAnsi="Times New Roman" w:cs="Times New Roman"/>
          <w:sz w:val="32"/>
        </w:rPr>
        <w:t>ПРОГРАМА</w:t>
      </w: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B62444">
        <w:rPr>
          <w:rFonts w:ascii="Times New Roman" w:hAnsi="Times New Roman" w:cs="Times New Roman"/>
          <w:sz w:val="32"/>
        </w:rPr>
        <w:t xml:space="preserve"> </w:t>
      </w:r>
      <w:r w:rsidR="00B62444">
        <w:rPr>
          <w:rFonts w:ascii="Times New Roman" w:hAnsi="Times New Roman" w:cs="Times New Roman"/>
          <w:sz w:val="32"/>
          <w:lang w:val="uk-UA"/>
        </w:rPr>
        <w:t>е</w:t>
      </w:r>
      <w:r w:rsidRPr="00B62444">
        <w:rPr>
          <w:rFonts w:ascii="Times New Roman" w:hAnsi="Times New Roman" w:cs="Times New Roman"/>
          <w:sz w:val="32"/>
        </w:rPr>
        <w:t>нергоефективн</w:t>
      </w:r>
      <w:r w:rsidR="00B62444">
        <w:rPr>
          <w:rFonts w:ascii="Times New Roman" w:hAnsi="Times New Roman" w:cs="Times New Roman"/>
          <w:sz w:val="32"/>
          <w:lang w:val="uk-UA"/>
        </w:rPr>
        <w:t>ості та енергозбереження</w:t>
      </w:r>
    </w:p>
    <w:p w:rsid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B62444">
        <w:rPr>
          <w:rFonts w:ascii="Times New Roman" w:hAnsi="Times New Roman" w:cs="Times New Roman"/>
          <w:sz w:val="32"/>
        </w:rPr>
        <w:t xml:space="preserve"> Новоборівської </w:t>
      </w:r>
      <w:r w:rsidR="00B62444">
        <w:rPr>
          <w:rFonts w:ascii="Times New Roman" w:hAnsi="Times New Roman" w:cs="Times New Roman"/>
          <w:sz w:val="32"/>
          <w:lang w:val="uk-UA"/>
        </w:rPr>
        <w:t xml:space="preserve">територіальної </w:t>
      </w:r>
      <w:r w:rsidRPr="00B62444">
        <w:rPr>
          <w:rFonts w:ascii="Times New Roman" w:hAnsi="Times New Roman" w:cs="Times New Roman"/>
          <w:sz w:val="32"/>
        </w:rPr>
        <w:t xml:space="preserve">громади </w:t>
      </w: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B62444">
        <w:rPr>
          <w:rFonts w:ascii="Times New Roman" w:hAnsi="Times New Roman" w:cs="Times New Roman"/>
          <w:sz w:val="32"/>
        </w:rPr>
        <w:t>на 2021-202</w:t>
      </w:r>
      <w:r w:rsidR="007E2D40">
        <w:rPr>
          <w:rFonts w:ascii="Times New Roman" w:hAnsi="Times New Roman" w:cs="Times New Roman"/>
          <w:sz w:val="32"/>
          <w:lang w:val="uk-UA"/>
        </w:rPr>
        <w:t>5</w:t>
      </w:r>
      <w:r w:rsidRPr="00B62444">
        <w:rPr>
          <w:rFonts w:ascii="Times New Roman" w:hAnsi="Times New Roman" w:cs="Times New Roman"/>
          <w:sz w:val="32"/>
        </w:rPr>
        <w:t xml:space="preserve"> роки</w:t>
      </w: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b/>
          <w:sz w:val="32"/>
        </w:rPr>
      </w:pP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A6E46" w:rsidRDefault="009A6E46" w:rsidP="009A6E46">
      <w:pPr>
        <w:spacing w:before="60" w:after="60"/>
        <w:ind w:left="-28" w:right="-6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/>
        <w:ind w:left="-28" w:right="-6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right="-5"/>
        <w:rPr>
          <w:b/>
          <w:sz w:val="32"/>
          <w:szCs w:val="32"/>
        </w:rPr>
      </w:pPr>
    </w:p>
    <w:p w:rsidR="00B62444" w:rsidRPr="00B62444" w:rsidRDefault="00FA1350" w:rsidP="009A6E46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B62444" w:rsidRPr="00B62444">
        <w:rPr>
          <w:sz w:val="28"/>
          <w:szCs w:val="28"/>
          <w:lang w:val="uk-UA"/>
        </w:rPr>
        <w:t>мт. Нова Борова</w:t>
      </w:r>
    </w:p>
    <w:p w:rsidR="00B62444" w:rsidRPr="00B62444" w:rsidRDefault="00B62444" w:rsidP="009A6E46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 w:rsidRPr="00B62444">
        <w:rPr>
          <w:sz w:val="28"/>
          <w:szCs w:val="28"/>
          <w:lang w:val="uk-UA"/>
        </w:rPr>
        <w:t>2021 р.</w:t>
      </w:r>
    </w:p>
    <w:p w:rsidR="009A6E46" w:rsidRDefault="009A6E46" w:rsidP="009A6E46">
      <w:pPr>
        <w:spacing w:before="60" w:after="60" w:line="276" w:lineRule="auto"/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І. Загальна характеристика Програми</w:t>
      </w:r>
    </w:p>
    <w:p w:rsidR="00B62444" w:rsidRPr="00B62444" w:rsidRDefault="00B62444" w:rsidP="009A6E46">
      <w:pPr>
        <w:spacing w:before="60" w:after="60" w:line="276" w:lineRule="auto"/>
        <w:ind w:right="-5"/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473"/>
        <w:gridCol w:w="3737"/>
      </w:tblGrid>
      <w:tr w:rsidR="009A6E46" w:rsidRPr="00B62444" w:rsidTr="00B62444">
        <w:trPr>
          <w:trHeight w:val="69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>
            <w:pPr>
              <w:spacing w:line="201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Ініціатор розроблення Програми: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Новоборівська селищна рада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44" w:rsidRPr="00B62444" w:rsidRDefault="00B62444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Виконавчий комітет Новоборівської селищної ради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Енергоменеджер громади</w:t>
            </w:r>
          </w:p>
        </w:tc>
      </w:tr>
      <w:tr w:rsidR="009A6E46" w:rsidRPr="00B62444" w:rsidTr="00B62444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-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Енергоменеджер громади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Структурні </w:t>
            </w:r>
            <w:proofErr w:type="gramStart"/>
            <w:r w:rsidRPr="00B62444">
              <w:rPr>
                <w:sz w:val="28"/>
                <w:szCs w:val="28"/>
              </w:rPr>
              <w:t>п</w:t>
            </w:r>
            <w:proofErr w:type="gramEnd"/>
            <w:r w:rsidRPr="00B62444">
              <w:rPr>
                <w:sz w:val="28"/>
                <w:szCs w:val="28"/>
              </w:rPr>
              <w:t>ідрозділи селищної ради, старостинські округи, виконком селищної ради, комунальні підприємства</w:t>
            </w:r>
            <w:r w:rsidR="00B62444" w:rsidRPr="00B62444">
              <w:rPr>
                <w:sz w:val="28"/>
                <w:szCs w:val="28"/>
                <w:lang w:val="uk-UA"/>
              </w:rPr>
              <w:t>,</w:t>
            </w:r>
            <w:r w:rsidRPr="00B62444">
              <w:rPr>
                <w:sz w:val="28"/>
                <w:szCs w:val="28"/>
              </w:rPr>
              <w:t xml:space="preserve"> </w:t>
            </w:r>
            <w:r w:rsidR="00B62444" w:rsidRPr="00B62444">
              <w:rPr>
                <w:sz w:val="28"/>
                <w:szCs w:val="28"/>
                <w:lang w:val="uk-UA"/>
              </w:rPr>
              <w:t>бюджетні</w:t>
            </w:r>
            <w:r w:rsidRPr="00B62444">
              <w:rPr>
                <w:sz w:val="28"/>
                <w:szCs w:val="28"/>
              </w:rPr>
              <w:t xml:space="preserve"> установи громади</w:t>
            </w:r>
          </w:p>
        </w:tc>
      </w:tr>
      <w:tr w:rsidR="009A6E46" w:rsidRPr="00B62444" w:rsidTr="00B62444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7E2D40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2021-202</w:t>
            </w:r>
            <w:r w:rsidR="007E2D40">
              <w:rPr>
                <w:sz w:val="28"/>
                <w:szCs w:val="28"/>
                <w:lang w:val="uk-UA"/>
              </w:rPr>
              <w:t>5</w:t>
            </w:r>
            <w:r w:rsidRPr="00B62444">
              <w:rPr>
                <w:sz w:val="28"/>
                <w:szCs w:val="28"/>
              </w:rPr>
              <w:t xml:space="preserve"> рр.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Перелік місцевих бюджеті</w:t>
            </w:r>
            <w:proofErr w:type="gramStart"/>
            <w:r w:rsidRPr="00B62444">
              <w:rPr>
                <w:sz w:val="28"/>
                <w:szCs w:val="28"/>
              </w:rPr>
              <w:t>в</w:t>
            </w:r>
            <w:proofErr w:type="gramEnd"/>
            <w:r w:rsidRPr="00B62444">
              <w:rPr>
                <w:sz w:val="28"/>
                <w:szCs w:val="28"/>
              </w:rPr>
              <w:t xml:space="preserve">, </w:t>
            </w:r>
            <w:proofErr w:type="gramStart"/>
            <w:r w:rsidRPr="00B62444">
              <w:rPr>
                <w:sz w:val="28"/>
                <w:szCs w:val="28"/>
              </w:rPr>
              <w:t>як</w:t>
            </w:r>
            <w:proofErr w:type="gramEnd"/>
            <w:r w:rsidRPr="00B62444">
              <w:rPr>
                <w:sz w:val="28"/>
                <w:szCs w:val="28"/>
              </w:rPr>
              <w:t>і беруть участь у виконанні Програми  (для комплексних програм)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44" w:rsidRPr="00B62444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>Державний бюджет, обласний бюджет,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 </w:t>
            </w:r>
            <w:proofErr w:type="gramStart"/>
            <w:r w:rsidRPr="00B62444">
              <w:rPr>
                <w:sz w:val="28"/>
                <w:szCs w:val="28"/>
              </w:rPr>
              <w:t>м</w:t>
            </w:r>
            <w:proofErr w:type="gramEnd"/>
            <w:r w:rsidRPr="00B62444">
              <w:rPr>
                <w:sz w:val="28"/>
                <w:szCs w:val="28"/>
              </w:rPr>
              <w:t>ісцевий бюджет</w:t>
            </w:r>
          </w:p>
        </w:tc>
      </w:tr>
      <w:tr w:rsidR="009A6E46" w:rsidRPr="00B62444" w:rsidTr="00B62444">
        <w:trPr>
          <w:trHeight w:val="53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AC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 xml:space="preserve">Загальний обсяг фінансових ресурсів, необхідних </w:t>
            </w:r>
            <w:proofErr w:type="gramStart"/>
            <w:r w:rsidRPr="00B62444">
              <w:rPr>
                <w:sz w:val="28"/>
                <w:szCs w:val="28"/>
              </w:rPr>
              <w:t>для</w:t>
            </w:r>
            <w:proofErr w:type="gramEnd"/>
            <w:r w:rsidRPr="00B62444">
              <w:rPr>
                <w:sz w:val="28"/>
                <w:szCs w:val="28"/>
              </w:rPr>
              <w:t xml:space="preserve"> реалізації Програми, </w:t>
            </w:r>
          </w:p>
          <w:p w:rsidR="009A6E46" w:rsidRP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9A6E46" w:rsidRPr="00B62444">
              <w:rPr>
                <w:sz w:val="28"/>
                <w:szCs w:val="28"/>
              </w:rPr>
              <w:t>сього</w:t>
            </w:r>
            <w:r>
              <w:rPr>
                <w:sz w:val="28"/>
                <w:szCs w:val="28"/>
                <w:lang w:val="uk-UA"/>
              </w:rPr>
              <w:t xml:space="preserve"> (тис.грн.)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19530,0</w:t>
            </w:r>
          </w:p>
        </w:tc>
      </w:tr>
      <w:tr w:rsidR="009A6E46" w:rsidRPr="00B62444" w:rsidTr="00B62444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  <w:lang w:val="uk-UA"/>
              </w:rPr>
              <w:t>8</w:t>
            </w:r>
            <w:r w:rsidR="009A6E46" w:rsidRPr="00B62444">
              <w:rPr>
                <w:sz w:val="28"/>
                <w:szCs w:val="28"/>
              </w:rPr>
              <w:t>.1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B62444">
              <w:rPr>
                <w:sz w:val="28"/>
                <w:szCs w:val="28"/>
              </w:rPr>
              <w:t>у</w:t>
            </w:r>
            <w:proofErr w:type="gramEnd"/>
            <w:r w:rsidRPr="00B62444">
              <w:rPr>
                <w:sz w:val="28"/>
                <w:szCs w:val="28"/>
              </w:rPr>
              <w:t xml:space="preserve"> тому числі бюджетних коштів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8819AC" w:rsidP="00B62444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17530,0</w:t>
            </w:r>
          </w:p>
        </w:tc>
      </w:tr>
      <w:tr w:rsidR="008819AC" w:rsidRPr="00B62444" w:rsidTr="00B62444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>
            <w:pPr>
              <w:spacing w:line="201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 w:rsidP="008819AC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держав</w:t>
            </w:r>
            <w:r w:rsidRPr="00B62444">
              <w:rPr>
                <w:sz w:val="28"/>
                <w:szCs w:val="28"/>
              </w:rPr>
              <w:t>ного</w:t>
            </w:r>
            <w:proofErr w:type="gramEnd"/>
            <w:r w:rsidRPr="00B62444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13500,0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  <w:lang w:val="uk-UA"/>
              </w:rPr>
              <w:t>8</w:t>
            </w:r>
            <w:r w:rsidR="009A6E46" w:rsidRPr="00B62444">
              <w:rPr>
                <w:sz w:val="28"/>
                <w:szCs w:val="28"/>
              </w:rPr>
              <w:t>.2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8819AC" w:rsidP="008819AC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</w:t>
            </w:r>
          </w:p>
        </w:tc>
      </w:tr>
      <w:tr w:rsidR="008819AC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>
            <w:pPr>
              <w:spacing w:line="201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 w:rsidP="008819AC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>ісцев</w:t>
            </w:r>
            <w:r w:rsidRPr="00B62444">
              <w:rPr>
                <w:sz w:val="28"/>
                <w:szCs w:val="28"/>
              </w:rPr>
              <w:t>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Default="008819AC" w:rsidP="008819AC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3530,0</w:t>
            </w:r>
          </w:p>
        </w:tc>
      </w:tr>
      <w:tr w:rsidR="008819AC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>
            <w:pPr>
              <w:spacing w:line="201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8819AC" w:rsidRDefault="008819AC" w:rsidP="008819AC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</w:t>
            </w:r>
          </w:p>
        </w:tc>
      </w:tr>
      <w:tr w:rsidR="009A6E46" w:rsidRPr="00B62444" w:rsidTr="00B62444">
        <w:trPr>
          <w:trHeight w:val="5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44" w:rsidRPr="00B62444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 xml:space="preserve">Власні кошти комунальних </w:t>
            </w:r>
            <w:proofErr w:type="gramStart"/>
            <w:r w:rsidRPr="00B62444">
              <w:rPr>
                <w:sz w:val="28"/>
                <w:szCs w:val="28"/>
              </w:rPr>
              <w:t>п</w:t>
            </w:r>
            <w:proofErr w:type="gramEnd"/>
            <w:r w:rsidRPr="00B62444">
              <w:rPr>
                <w:sz w:val="28"/>
                <w:szCs w:val="28"/>
              </w:rPr>
              <w:t>ідприємств ,</w:t>
            </w:r>
          </w:p>
          <w:p w:rsidR="00B62444" w:rsidRPr="00B62444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 xml:space="preserve">кошти </w:t>
            </w:r>
            <w:proofErr w:type="gramStart"/>
            <w:r w:rsidRPr="00B62444">
              <w:rPr>
                <w:sz w:val="28"/>
                <w:szCs w:val="28"/>
              </w:rPr>
              <w:t>державного</w:t>
            </w:r>
            <w:proofErr w:type="gramEnd"/>
            <w:r w:rsidRPr="00B62444">
              <w:rPr>
                <w:sz w:val="28"/>
                <w:szCs w:val="28"/>
              </w:rPr>
              <w:t xml:space="preserve">, обласного та місцевих бюджетів, 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інвестиційні та грантові кошти</w:t>
            </w:r>
          </w:p>
        </w:tc>
      </w:tr>
    </w:tbl>
    <w:p w:rsidR="009A6E46" w:rsidRPr="00B62444" w:rsidRDefault="009A6E46" w:rsidP="009A6E46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</w:p>
    <w:p w:rsidR="009A6E46" w:rsidRPr="00B62444" w:rsidRDefault="00B62444" w:rsidP="009A6E46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ІІ. Проблеми, на розв</w:t>
      </w:r>
      <w:r>
        <w:rPr>
          <w:b/>
          <w:color w:val="000000"/>
          <w:sz w:val="28"/>
          <w:szCs w:val="28"/>
          <w:lang w:val="uk-UA"/>
        </w:rPr>
        <w:t>’</w:t>
      </w:r>
      <w:r w:rsidR="009A6E46" w:rsidRPr="00B62444">
        <w:rPr>
          <w:b/>
          <w:color w:val="000000"/>
          <w:sz w:val="28"/>
          <w:szCs w:val="28"/>
        </w:rPr>
        <w:t>язання яких спрямована Програма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1. Низькі теплоізоляційні  характеристики будівель.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2.</w:t>
      </w:r>
      <w:r w:rsidR="00B6244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62444">
        <w:rPr>
          <w:rFonts w:ascii="Times New Roman" w:hAnsi="Times New Roman" w:cs="Times New Roman"/>
          <w:sz w:val="28"/>
          <w:szCs w:val="28"/>
        </w:rPr>
        <w:t>Використання  застарілого  енергозатратного теплогенеруючого обладнання.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 xml:space="preserve">3. Нераціональне  використання  паливно-енергетичних  ресурсів  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ід час  виробництва теплової енергії та гарячої  води,  значні тепловтрати в теплових  мережах.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4. Відсутнє використання альтернативних (відновлювальних) джерел енергії.</w:t>
      </w:r>
    </w:p>
    <w:p w:rsidR="009A6E46" w:rsidRPr="00B62444" w:rsidRDefault="009A6E46" w:rsidP="009A6E46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:rsidR="009A6E46" w:rsidRPr="00B62444" w:rsidRDefault="009A6E46" w:rsidP="009A6E46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444">
        <w:rPr>
          <w:rFonts w:ascii="Times New Roman" w:hAnsi="Times New Roman" w:cs="Times New Roman"/>
          <w:b/>
          <w:sz w:val="28"/>
          <w:szCs w:val="28"/>
        </w:rPr>
        <w:t>ІІІ. Мета Програми</w:t>
      </w:r>
    </w:p>
    <w:p w:rsidR="009A6E46" w:rsidRPr="00B62444" w:rsidRDefault="009A6E46" w:rsidP="009A6E46">
      <w:pPr>
        <w:spacing w:before="240" w:after="60" w:line="276" w:lineRule="auto"/>
        <w:ind w:left="-31" w:right="-6" w:firstLine="598"/>
        <w:rPr>
          <w:sz w:val="28"/>
          <w:szCs w:val="28"/>
        </w:rPr>
      </w:pPr>
      <w:r w:rsidRPr="00B62444">
        <w:rPr>
          <w:sz w:val="28"/>
          <w:szCs w:val="28"/>
        </w:rPr>
        <w:t>Метою Програми є створення організаційних умов для вирішення визначених проблем.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 xml:space="preserve">Скорочення  використання  традиційних  видів палива шляхом  їх  заміщення на альтернативні або 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ічного вдосконалення  тепло- та електрогенеруючого обладнання, у результаті чого спостерігатиметься економія бюджетних коштів.</w:t>
      </w:r>
    </w:p>
    <w:p w:rsidR="009A6E46" w:rsidRPr="00B62444" w:rsidRDefault="009A6E46" w:rsidP="009A6E46">
      <w:pPr>
        <w:shd w:val="clear" w:color="auto" w:fill="FFFFFF"/>
        <w:spacing w:before="60" w:after="60" w:line="276" w:lineRule="auto"/>
        <w:ind w:left="-31" w:firstLine="720"/>
        <w:jc w:val="center"/>
        <w:rPr>
          <w:b/>
          <w:color w:val="000000"/>
          <w:sz w:val="28"/>
          <w:szCs w:val="28"/>
        </w:rPr>
      </w:pPr>
    </w:p>
    <w:p w:rsidR="009A6E46" w:rsidRPr="00B62444" w:rsidRDefault="009A6E46" w:rsidP="009A6E46">
      <w:pPr>
        <w:shd w:val="clear" w:color="auto" w:fill="FFFFFF"/>
        <w:spacing w:before="60" w:after="60" w:line="276" w:lineRule="auto"/>
        <w:ind w:left="-31"/>
        <w:jc w:val="center"/>
        <w:rPr>
          <w:b/>
          <w:color w:val="000000"/>
          <w:sz w:val="28"/>
          <w:szCs w:val="28"/>
          <w:lang w:val="uk-UA"/>
        </w:rPr>
      </w:pPr>
      <w:r w:rsidRPr="00B62444">
        <w:rPr>
          <w:b/>
          <w:color w:val="000000"/>
          <w:sz w:val="28"/>
          <w:szCs w:val="28"/>
          <w:lang w:val="en-US"/>
        </w:rPr>
        <w:t>IV</w:t>
      </w:r>
      <w:r w:rsidRPr="00B62444">
        <w:rPr>
          <w:b/>
          <w:color w:val="000000"/>
          <w:sz w:val="28"/>
          <w:szCs w:val="28"/>
        </w:rPr>
        <w:t>. Шляхи і засоби розв</w:t>
      </w:r>
      <w:r w:rsidR="00FA1350">
        <w:rPr>
          <w:b/>
          <w:color w:val="000000"/>
          <w:sz w:val="28"/>
          <w:szCs w:val="28"/>
          <w:lang w:val="uk-UA"/>
        </w:rPr>
        <w:t>’</w:t>
      </w:r>
      <w:r w:rsidRPr="00B62444">
        <w:rPr>
          <w:b/>
          <w:color w:val="000000"/>
          <w:sz w:val="28"/>
          <w:szCs w:val="28"/>
        </w:rPr>
        <w:t>язання проблеми, обсяг та джерела фінансування, строки та етапи виконання Програми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444">
        <w:rPr>
          <w:rFonts w:ascii="Times New Roman" w:hAnsi="Times New Roman" w:cs="Times New Roman"/>
          <w:sz w:val="28"/>
          <w:szCs w:val="28"/>
          <w:lang w:val="uk-UA"/>
        </w:rPr>
        <w:t>Шляхи реалізації Програми: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444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r w:rsidRPr="00B62444">
        <w:rPr>
          <w:rFonts w:ascii="Times New Roman" w:hAnsi="Times New Roman" w:cs="Times New Roman"/>
          <w:color w:val="FFFF00"/>
          <w:sz w:val="28"/>
          <w:szCs w:val="28"/>
          <w:lang w:val="uk-UA"/>
        </w:rPr>
        <w:t xml:space="preserve"> </w:t>
      </w:r>
      <w:r w:rsidRPr="00B62444">
        <w:rPr>
          <w:rFonts w:ascii="Times New Roman" w:hAnsi="Times New Roman" w:cs="Times New Roman"/>
          <w:sz w:val="28"/>
          <w:szCs w:val="28"/>
          <w:lang w:val="uk-UA"/>
        </w:rPr>
        <w:t>порядку залучення фінансування на заходи з енергозбереження на об’єктах бюджетної та комунальної сфери, що фінансуються за рахунок бюджетних коштів та інших джерел фінасування;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 xml:space="preserve">скорочення  використання  традиційних  видів палива шляхом  їх  заміщення на альтернативні або  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ічного вдосконалення  тепло- та електрогенеруючого обладнання;</w:t>
      </w:r>
    </w:p>
    <w:p w:rsidR="009A6E46" w:rsidRPr="00B62444" w:rsidRDefault="009A6E46" w:rsidP="009A6E46">
      <w:pPr>
        <w:spacing w:before="60" w:line="276" w:lineRule="auto"/>
        <w:ind w:firstLine="567"/>
        <w:jc w:val="both"/>
        <w:rPr>
          <w:sz w:val="28"/>
          <w:szCs w:val="28"/>
        </w:rPr>
      </w:pPr>
      <w:r w:rsidRPr="00B62444">
        <w:rPr>
          <w:sz w:val="28"/>
          <w:szCs w:val="28"/>
        </w:rPr>
        <w:t>комплексна термомодернізація  об’єкті</w:t>
      </w:r>
      <w:proofErr w:type="gramStart"/>
      <w:r w:rsidRPr="00B62444">
        <w:rPr>
          <w:sz w:val="28"/>
          <w:szCs w:val="28"/>
        </w:rPr>
        <w:t>в</w:t>
      </w:r>
      <w:proofErr w:type="gramEnd"/>
      <w:r w:rsidRPr="00B62444">
        <w:rPr>
          <w:sz w:val="28"/>
          <w:szCs w:val="28"/>
        </w:rPr>
        <w:t>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впровадження  енергетичних  обстежень об’єктів з метою  економічного обґрунтування   виконання  енергоефективних  заході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4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ідвищення  культури енергоспоживання та використання паливних ресурсів серед жителів області;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 xml:space="preserve">розробка основних напрямів політики у сфері енергоефективності, удосконалення системи контролю та моніторингу за споживанням енергоресурсів, визначення 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іоритетних до виконання енергозберігаючих заходів за рахунок бюджетних коштів, фінансових ресурсів з інших джерел.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2444">
        <w:rPr>
          <w:rFonts w:ascii="Times New Roman" w:hAnsi="Times New Roman" w:cs="Times New Roman"/>
          <w:color w:val="000000"/>
          <w:sz w:val="28"/>
          <w:szCs w:val="28"/>
        </w:rPr>
        <w:t>Реалізація Програми здійснюватиметься за рахунок сучасних напрацювань у сфері енергозбереження із залученням високоефективного обладнання як вітчизняного так й іноземного виробництва, силами спеціалі</w:t>
      </w:r>
      <w:proofErr w:type="gramStart"/>
      <w:r w:rsidRPr="00B62444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B62444">
        <w:rPr>
          <w:rFonts w:ascii="Times New Roman" w:hAnsi="Times New Roman" w:cs="Times New Roman"/>
          <w:color w:val="000000"/>
          <w:sz w:val="28"/>
          <w:szCs w:val="28"/>
        </w:rPr>
        <w:t xml:space="preserve">ів державних, </w:t>
      </w:r>
      <w:r w:rsidRPr="00B6244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комунальних, приватних установ, організацій, енергоаудиторських та енергосервісних компаній, громадських організацій, експертів галузі тощо.   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b/>
          <w:sz w:val="28"/>
          <w:szCs w:val="28"/>
        </w:rPr>
        <w:t>Обсяги фінансування</w:t>
      </w:r>
      <w:r w:rsidRPr="00B62444">
        <w:rPr>
          <w:rFonts w:ascii="Times New Roman" w:hAnsi="Times New Roman" w:cs="Times New Roman"/>
          <w:sz w:val="28"/>
          <w:szCs w:val="28"/>
        </w:rPr>
        <w:t xml:space="preserve"> визначатимуться щорічно при формуванні переліку об’єктів, які потребують  проведення енергоефективних заходів з метою зменшення використання паливно-енергетичних ресурсі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.</w:t>
      </w:r>
    </w:p>
    <w:p w:rsidR="009A6E46" w:rsidRPr="00B62444" w:rsidRDefault="009A6E46" w:rsidP="009A6E46">
      <w:pPr>
        <w:ind w:firstLine="567"/>
        <w:jc w:val="both"/>
        <w:rPr>
          <w:sz w:val="28"/>
          <w:szCs w:val="28"/>
        </w:rPr>
      </w:pPr>
      <w:r w:rsidRPr="00B62444">
        <w:rPr>
          <w:sz w:val="28"/>
          <w:szCs w:val="28"/>
        </w:rPr>
        <w:t>Разом з тим, організаційно-технічні заходи, заплановані на 2021</w:t>
      </w:r>
      <w:r w:rsidR="007E2D40">
        <w:rPr>
          <w:sz w:val="28"/>
          <w:szCs w:val="28"/>
          <w:lang w:val="uk-UA"/>
        </w:rPr>
        <w:t>-2023</w:t>
      </w:r>
      <w:r w:rsidRPr="00B62444">
        <w:rPr>
          <w:sz w:val="28"/>
          <w:szCs w:val="28"/>
        </w:rPr>
        <w:t xml:space="preserve"> р</w:t>
      </w:r>
      <w:r w:rsidR="007E2D40">
        <w:rPr>
          <w:sz w:val="28"/>
          <w:szCs w:val="28"/>
          <w:lang w:val="uk-UA"/>
        </w:rPr>
        <w:t>оки</w:t>
      </w:r>
      <w:r w:rsidRPr="00B62444">
        <w:rPr>
          <w:sz w:val="28"/>
          <w:szCs w:val="28"/>
        </w:rPr>
        <w:t xml:space="preserve">, </w:t>
      </w:r>
      <w:proofErr w:type="gramStart"/>
      <w:r w:rsidRPr="00B62444">
        <w:rPr>
          <w:sz w:val="28"/>
          <w:szCs w:val="28"/>
        </w:rPr>
        <w:t>у</w:t>
      </w:r>
      <w:proofErr w:type="gramEnd"/>
      <w:r w:rsidRPr="00B62444">
        <w:rPr>
          <w:sz w:val="28"/>
          <w:szCs w:val="28"/>
        </w:rPr>
        <w:t xml:space="preserve"> тому числі проведення енергетичних обстежень будівель, упровадження системи  моніторингу за споживанням енергоресурсів, потребують фінансування.</w:t>
      </w:r>
    </w:p>
    <w:p w:rsidR="009A6E46" w:rsidRPr="00B62444" w:rsidRDefault="009A6E46" w:rsidP="009A6E46">
      <w:pPr>
        <w:spacing w:before="60" w:line="276" w:lineRule="auto"/>
        <w:ind w:left="589"/>
        <w:jc w:val="both"/>
        <w:rPr>
          <w:b/>
          <w:sz w:val="28"/>
          <w:szCs w:val="28"/>
        </w:rPr>
        <w:sectPr w:rsidR="009A6E46" w:rsidRPr="00B62444" w:rsidSect="009A6E46">
          <w:pgSz w:w="11906" w:h="16838" w:code="9"/>
          <w:pgMar w:top="850" w:right="850" w:bottom="850" w:left="1417" w:header="706" w:footer="706" w:gutter="0"/>
          <w:cols w:space="708"/>
          <w:docGrid w:linePitch="360"/>
        </w:sectPr>
      </w:pPr>
    </w:p>
    <w:p w:rsidR="009A6E46" w:rsidRPr="007E2D40" w:rsidRDefault="009A6E46" w:rsidP="009A6E46">
      <w:pPr>
        <w:spacing w:before="6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Перелік завдань (напрямів) і заходів Програми</w:t>
      </w:r>
      <w:r w:rsidR="007E2D40">
        <w:rPr>
          <w:b/>
          <w:sz w:val="28"/>
          <w:szCs w:val="28"/>
          <w:lang w:val="uk-UA"/>
        </w:rPr>
        <w:t xml:space="preserve"> на 20</w:t>
      </w:r>
      <w:proofErr w:type="gramStart"/>
      <w:r w:rsidR="007E2D40">
        <w:rPr>
          <w:b/>
          <w:sz w:val="28"/>
          <w:szCs w:val="28"/>
          <w:lang w:val="uk-UA"/>
        </w:rPr>
        <w:t>,21</w:t>
      </w:r>
      <w:proofErr w:type="gramEnd"/>
      <w:r w:rsidR="007E2D40">
        <w:rPr>
          <w:b/>
          <w:sz w:val="28"/>
          <w:szCs w:val="28"/>
          <w:lang w:val="uk-UA"/>
        </w:rPr>
        <w:t>-2025 роки</w:t>
      </w:r>
    </w:p>
    <w:p w:rsidR="009A6E46" w:rsidRDefault="009A6E46" w:rsidP="009A6E46">
      <w:pPr>
        <w:jc w:val="both"/>
        <w:rPr>
          <w:sz w:val="20"/>
          <w:szCs w:val="20"/>
        </w:rPr>
      </w:pPr>
    </w:p>
    <w:tbl>
      <w:tblPr>
        <w:tblW w:w="4806" w:type="pct"/>
        <w:jc w:val="center"/>
        <w:tblInd w:w="1252" w:type="dxa"/>
        <w:tblLook w:val="04A0" w:firstRow="1" w:lastRow="0" w:firstColumn="1" w:lastColumn="0" w:noHBand="0" w:noVBand="1"/>
      </w:tblPr>
      <w:tblGrid>
        <w:gridCol w:w="237"/>
        <w:gridCol w:w="265"/>
        <w:gridCol w:w="5507"/>
        <w:gridCol w:w="3059"/>
        <w:gridCol w:w="1268"/>
        <w:gridCol w:w="1314"/>
        <w:gridCol w:w="2202"/>
        <w:gridCol w:w="1722"/>
      </w:tblGrid>
      <w:tr w:rsidR="009A6E46" w:rsidTr="007E2D40">
        <w:trPr>
          <w:gridAfter w:val="7"/>
          <w:wAfter w:w="4924" w:type="pct"/>
          <w:jc w:val="center"/>
        </w:trPr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E46" w:rsidRDefault="009A6E46">
            <w:pPr>
              <w:spacing w:line="256" w:lineRule="auto"/>
              <w:jc w:val="center"/>
              <w:rPr>
                <w:noProof/>
                <w:sz w:val="18"/>
                <w:szCs w:val="18"/>
              </w:rPr>
            </w:pP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Назва проекту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 і назва завдання відповідно до Програми </w:t>
            </w:r>
            <w:proofErr w:type="gramStart"/>
            <w:r>
              <w:rPr>
                <w:b/>
                <w:sz w:val="18"/>
                <w:szCs w:val="18"/>
              </w:rPr>
              <w:t>соц</w:t>
            </w:r>
            <w:proofErr w:type="gramEnd"/>
            <w:r>
              <w:rPr>
                <w:b/>
                <w:sz w:val="18"/>
                <w:szCs w:val="18"/>
              </w:rPr>
              <w:t>іально-економічного розвитку Новоборівської громади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Термін реалізації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Орієнтовна вартість проекту, тис</w:t>
            </w:r>
            <w:proofErr w:type="gramStart"/>
            <w:r>
              <w:rPr>
                <w:b/>
                <w:sz w:val="18"/>
                <w:szCs w:val="18"/>
              </w:rPr>
              <w:t>.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г</w:t>
            </w:r>
            <w:proofErr w:type="gramEnd"/>
            <w:r>
              <w:rPr>
                <w:b/>
                <w:sz w:val="18"/>
                <w:szCs w:val="18"/>
              </w:rPr>
              <w:t>рн.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Заплановані заходи в рамках проекту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Джерела фінансування</w:t>
            </w:r>
          </w:p>
        </w:tc>
      </w:tr>
      <w:tr w:rsidR="007E2D40" w:rsidTr="007E2D40">
        <w:trPr>
          <w:trHeight w:val="1730"/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 та дверей на енергозберігаючі в Небізькому будинку культури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0194D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Фасова,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 w:rsidRPr="009A6E46">
              <w:rPr>
                <w:sz w:val="18"/>
                <w:szCs w:val="18"/>
                <w:lang w:val="uk-UA"/>
              </w:rPr>
              <w:t xml:space="preserve">Заміна вікон на енергозберігаючі в приміщенні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Молодіжна, 2а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Преображенська в селі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ікон та дверей в Фасівському сільському клубі по                вул. Б. Хмельницького, 39г,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Фасова,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фельшерського пункту по вул. Преображенська в с.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 Розвиток системи первинної медицини на території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  в приміщенні Кропивнянської ЗОШ І-ІІІ ступенів по  вул. 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 w:rsidRPr="009A6E46">
              <w:rPr>
                <w:sz w:val="18"/>
                <w:szCs w:val="18"/>
                <w:lang w:val="uk-UA"/>
              </w:rPr>
              <w:t xml:space="preserve">Заміна теплотраси та труб каналізації в підвалі приміщення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теплотраси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Капітальний ремонт даху  музичної школи </w:t>
            </w:r>
            <w:proofErr w:type="gramStart"/>
            <w:r>
              <w:rPr>
                <w:bCs/>
                <w:sz w:val="18"/>
                <w:szCs w:val="18"/>
              </w:rPr>
              <w:t>по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вул. Казкова,2 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Розробка проектно-кошторисної документації, ремонт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системи водовідведення, водопостачання, теплопостачання Новоборівського ЦРД «Казка»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автономного водопостачання дитячого садка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</w:t>
            </w:r>
            <w:proofErr w:type="gramStart"/>
            <w:r>
              <w:rPr>
                <w:sz w:val="18"/>
                <w:szCs w:val="18"/>
              </w:rPr>
              <w:t>автономного</w:t>
            </w:r>
            <w:proofErr w:type="gramEnd"/>
            <w:r>
              <w:rPr>
                <w:sz w:val="18"/>
                <w:szCs w:val="18"/>
              </w:rPr>
              <w:t xml:space="preserve"> водопостачання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Поточний 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 групової кімнати ДНЗ «Дзвіночок» в с. Кропивня Житомирскоі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Поточний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Кропивнянського будинку культури в селі Кропивня,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опалення бібліотеки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опалення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Реконструкція покрі</w:t>
            </w:r>
            <w:proofErr w:type="gramStart"/>
            <w:r>
              <w:rPr>
                <w:bCs/>
                <w:sz w:val="18"/>
                <w:szCs w:val="18"/>
              </w:rPr>
              <w:t>вл</w:t>
            </w:r>
            <w:proofErr w:type="gramEnd"/>
            <w:r>
              <w:rPr>
                <w:bCs/>
                <w:sz w:val="18"/>
                <w:szCs w:val="18"/>
              </w:rPr>
              <w:t xml:space="preserve">і приміщення ЦРД «Казка» по             вул. Казкова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системи водопостачання і водовідведення Новоборівського ЦРД «Сонечко»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ПКД,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термомодернізація Новоборівського Центру розвитку дитини «Сонечко» по вул. Незалежності, 26а,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р-ну,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Реконструкція, термосанація.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Луковець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Турчинка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Гацьківка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 w:rsidRPr="008819AC"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Ягодинка,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Рудня Фасова,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в с.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сак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вка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40194D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</w:t>
            </w:r>
            <w:r w:rsidR="0040194D"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Томаш</w:t>
            </w:r>
            <w:proofErr w:type="gramStart"/>
            <w:r>
              <w:rPr>
                <w:sz w:val="18"/>
                <w:szCs w:val="18"/>
                <w:lang w:val="en-US"/>
              </w:rPr>
              <w:t>i</w:t>
            </w:r>
            <w:proofErr w:type="gramEnd"/>
            <w:r>
              <w:rPr>
                <w:sz w:val="18"/>
                <w:szCs w:val="18"/>
              </w:rPr>
              <w:t>вка,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40194D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2023-</w:t>
            </w: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Фасова, Хорошівського району, Житомирської області по вул. Комарова.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.Ф</w:t>
            </w:r>
            <w:proofErr w:type="gramEnd"/>
            <w:r>
              <w:rPr>
                <w:sz w:val="18"/>
                <w:szCs w:val="18"/>
              </w:rPr>
              <w:t>асова, Хорошівського району, Житомирської області по вул. Залізнична.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ебіж, Хорошівського району, Житомирської області по вул. Кутузова, Хичівська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Гоголя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Іршанська.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Козацька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провулку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Кошового 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Невського.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lastRenderedPageBreak/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Польова.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Соборна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Хлібна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пров. Хлібний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Шевченка.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0194D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Вуличних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 із сонячною панеллю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та встановлення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Кропивня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819AC"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с. Рудня-Гацьківка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вул. Привокзальна смт.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Нова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0194D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Капітальний ремонт водопостачальних мереж у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ідвалах та під’їздах житлових будинків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Маяковського, 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Пушкіна, 159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Шевченка,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та відмостки будинку за адресою: вул. Незалежності, 6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A2F98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Програма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ідтримки ОСББ «Теплий дім»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2.3.1.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A2F98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Залучення громадськості до вирішення проблем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водогінних  мереж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A2F98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ЦРД «Казка» по вул. Казкова,2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ім. Василя Лунька по вул. Шкільна,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по вул. Освіти,7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КЗ «Центр культури та дозвілля» Новоборівської селищної ради по вул. Незалежності,11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4A2F98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Pr="004A2F98" w:rsidRDefault="008819AC" w:rsidP="004A2F98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</w:tbl>
    <w:p w:rsidR="009A6E46" w:rsidRDefault="009A6E46" w:rsidP="009A6E46"/>
    <w:p w:rsidR="009A6E46" w:rsidRDefault="009A6E46" w:rsidP="009A6E46"/>
    <w:p w:rsidR="009A6E46" w:rsidRDefault="009A6E46" w:rsidP="009A6E46"/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en-US"/>
        </w:rPr>
        <w:sectPr w:rsidR="004A2F98" w:rsidSect="00545071">
          <w:pgSz w:w="16838" w:h="11906" w:orient="landscape" w:code="9"/>
          <w:pgMar w:top="851" w:right="567" w:bottom="567" w:left="284" w:header="709" w:footer="709" w:gutter="0"/>
          <w:cols w:space="708"/>
          <w:docGrid w:linePitch="360"/>
        </w:sectPr>
      </w:pPr>
      <w:bookmarkStart w:id="0" w:name="_GoBack"/>
      <w:bookmarkEnd w:id="0"/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9A6E46" w:rsidRDefault="009A6E46" w:rsidP="009A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Координація та контроль за ходом виконання Програми</w:t>
      </w:r>
    </w:p>
    <w:p w:rsidR="009A6E46" w:rsidRDefault="009A6E46" w:rsidP="009A6E46">
      <w:pPr>
        <w:jc w:val="center"/>
        <w:rPr>
          <w:b/>
          <w:sz w:val="28"/>
          <w:szCs w:val="28"/>
        </w:rPr>
      </w:pPr>
    </w:p>
    <w:p w:rsidR="009A6E46" w:rsidRDefault="009A6E46" w:rsidP="009A6E46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Координацію дій </w:t>
      </w:r>
      <w:proofErr w:type="gramStart"/>
      <w:r>
        <w:rPr>
          <w:iCs/>
          <w:sz w:val="28"/>
          <w:szCs w:val="28"/>
        </w:rPr>
        <w:t>між</w:t>
      </w:r>
      <w:proofErr w:type="gramEnd"/>
      <w:r>
        <w:rPr>
          <w:iCs/>
          <w:sz w:val="28"/>
          <w:szCs w:val="28"/>
        </w:rPr>
        <w:t xml:space="preserve"> учасниками Програми, контроль за виконанням її заходів здійснює селищний голова або його заступник.</w:t>
      </w:r>
    </w:p>
    <w:p w:rsidR="009A6E46" w:rsidRPr="004A2F98" w:rsidRDefault="009A6E46" w:rsidP="009A6E46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Контроль за цільовим та ефективним використанням коштів здійснюють </w:t>
      </w:r>
      <w:r w:rsidRPr="004A2F98">
        <w:rPr>
          <w:iCs/>
          <w:sz w:val="28"/>
          <w:szCs w:val="28"/>
        </w:rPr>
        <w:t>фінансовий відділ Новоборівської селищної р</w:t>
      </w:r>
      <w:r w:rsidR="00E51FCE">
        <w:rPr>
          <w:iCs/>
          <w:sz w:val="28"/>
          <w:szCs w:val="28"/>
        </w:rPr>
        <w:t>ади та комісія з питань бюджету</w:t>
      </w:r>
      <w:r w:rsidRPr="004A2F98">
        <w:rPr>
          <w:iCs/>
          <w:sz w:val="28"/>
          <w:szCs w:val="28"/>
        </w:rPr>
        <w:t>, фінінсів і цін</w:t>
      </w:r>
      <w:proofErr w:type="gramStart"/>
      <w:r w:rsidRPr="004A2F98">
        <w:rPr>
          <w:iCs/>
          <w:sz w:val="28"/>
          <w:szCs w:val="28"/>
        </w:rPr>
        <w:t xml:space="preserve"> .</w:t>
      </w:r>
      <w:proofErr w:type="gramEnd"/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proofErr w:type="gramStart"/>
      <w:r>
        <w:t>Для</w:t>
      </w:r>
      <w:proofErr w:type="gramEnd"/>
      <w:r>
        <w:t xml:space="preserve"> об’єктивної оцінки результативності реалізації Програми необхідно ввести ряд індикаторів, що могли б візуалізувати отримані результати. </w:t>
      </w:r>
      <w:proofErr w:type="gramStart"/>
      <w:r>
        <w:t>Дан</w:t>
      </w:r>
      <w:proofErr w:type="gramEnd"/>
      <w:r>
        <w:t>і індикатори не є цілком об’єктивними, та за умов обмеженості джерел отримання інформації, залишаються найбільш доступними.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Відповідно до вищезазначених завдань реалізації Програми індикаторами результативності</w:t>
      </w:r>
      <w:proofErr w:type="gramStart"/>
      <w:r>
        <w:t xml:space="preserve"> є:</w:t>
      </w:r>
      <w:proofErr w:type="gramEnd"/>
    </w:p>
    <w:p w:rsidR="009A6E46" w:rsidRDefault="009A6E46" w:rsidP="009A6E46">
      <w:pPr>
        <w:pStyle w:val="20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E51FCE">
        <w:rPr>
          <w:lang w:val="uk-UA"/>
        </w:rPr>
        <w:t>о</w:t>
      </w:r>
      <w:r>
        <w:t>бсяг економії енергоресурсів;</w:t>
      </w:r>
    </w:p>
    <w:p w:rsidR="009A6E46" w:rsidRDefault="009A6E46" w:rsidP="00E51FCE">
      <w:pPr>
        <w:pStyle w:val="20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left"/>
      </w:pPr>
      <w:r>
        <w:t xml:space="preserve">- </w:t>
      </w:r>
      <w:r w:rsidR="00E51FCE">
        <w:rPr>
          <w:lang w:val="uk-UA"/>
        </w:rPr>
        <w:t>к</w:t>
      </w:r>
      <w:r>
        <w:t>ількість реконструйованих та новостворених об’єктів інфраструктури;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Також</w:t>
      </w:r>
      <w:r w:rsidR="00E51FCE">
        <w:rPr>
          <w:lang w:val="uk-UA"/>
        </w:rPr>
        <w:t>,</w:t>
      </w:r>
      <w:r>
        <w:t xml:space="preserve"> для проведення моніторингу застосовуються показники енергоефективності на </w:t>
      </w:r>
      <w:proofErr w:type="gramStart"/>
      <w:r>
        <w:t>п</w:t>
      </w:r>
      <w:proofErr w:type="gramEnd"/>
      <w:r>
        <w:t>ідставі даних територіальних підрозділів центральних органів влади.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09"/>
        <w:jc w:val="both"/>
      </w:pPr>
      <w:r>
        <w:t>Відстеження динаміки відповідних індикаторі</w:t>
      </w:r>
      <w:proofErr w:type="gramStart"/>
      <w:r>
        <w:t>в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показників енергоефективності дозволять чітко відслідковувати ефективність реалізації Програми.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 xml:space="preserve">Звіт про реалізацію Програми заслуховується на сесії Новоборівської селищної </w:t>
      </w:r>
      <w:proofErr w:type="gramStart"/>
      <w:r>
        <w:t>ради</w:t>
      </w:r>
      <w:proofErr w:type="gramEnd"/>
      <w:r>
        <w:t>.</w:t>
      </w:r>
    </w:p>
    <w:p w:rsidR="009A6E46" w:rsidRDefault="009A6E46" w:rsidP="009A6E46">
      <w:pPr>
        <w:ind w:firstLine="539"/>
        <w:jc w:val="both"/>
        <w:rPr>
          <w:iCs/>
          <w:sz w:val="28"/>
          <w:szCs w:val="28"/>
        </w:rPr>
      </w:pPr>
    </w:p>
    <w:p w:rsidR="00FA1350" w:rsidRDefault="00FA1350" w:rsidP="00FA1350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Pr="00FA1350" w:rsidRDefault="00FA1350" w:rsidP="00FA1350">
      <w:pPr>
        <w:tabs>
          <w:tab w:val="left" w:pos="1356"/>
        </w:tabs>
        <w:ind w:firstLine="720"/>
        <w:rPr>
          <w:sz w:val="20"/>
          <w:szCs w:val="20"/>
          <w:lang w:val="uk-UA"/>
        </w:rPr>
      </w:pPr>
      <w:r w:rsidRPr="00B62444">
        <w:rPr>
          <w:sz w:val="28"/>
          <w:szCs w:val="28"/>
        </w:rPr>
        <w:t>Енергоменеджер громади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МІЩЕНКО</w:t>
      </w:r>
    </w:p>
    <w:sectPr w:rsidR="00EB1899" w:rsidRPr="00FA1350" w:rsidSect="004A2F98">
      <w:pgSz w:w="11906" w:h="16838" w:code="9"/>
      <w:pgMar w:top="850" w:right="850" w:bottom="850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9DE" w:rsidRDefault="00A959DE" w:rsidP="00166685">
      <w:r>
        <w:separator/>
      </w:r>
    </w:p>
  </w:endnote>
  <w:endnote w:type="continuationSeparator" w:id="0">
    <w:p w:rsidR="00A959DE" w:rsidRDefault="00A959D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9DE" w:rsidRDefault="00A959DE" w:rsidP="00166685">
      <w:r>
        <w:separator/>
      </w:r>
    </w:p>
  </w:footnote>
  <w:footnote w:type="continuationSeparator" w:id="0">
    <w:p w:rsidR="00A959DE" w:rsidRDefault="00A959D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4B4442"/>
    <w:multiLevelType w:val="hybridMultilevel"/>
    <w:tmpl w:val="A4DE445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B5025"/>
    <w:multiLevelType w:val="hybridMultilevel"/>
    <w:tmpl w:val="B0288182"/>
    <w:lvl w:ilvl="0" w:tplc="042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6831EF"/>
    <w:multiLevelType w:val="hybridMultilevel"/>
    <w:tmpl w:val="CB262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54A6B"/>
    <w:multiLevelType w:val="hybridMultilevel"/>
    <w:tmpl w:val="6CBE415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1">
    <w:nsid w:val="434A40F1"/>
    <w:multiLevelType w:val="hybridMultilevel"/>
    <w:tmpl w:val="E040A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C06C5"/>
    <w:multiLevelType w:val="hybridMultilevel"/>
    <w:tmpl w:val="D8AA721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8A51EAA"/>
    <w:multiLevelType w:val="hybridMultilevel"/>
    <w:tmpl w:val="3CB42FF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4D0F023A"/>
    <w:multiLevelType w:val="hybridMultilevel"/>
    <w:tmpl w:val="3432C6E8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>
    <w:nsid w:val="5493620A"/>
    <w:multiLevelType w:val="hybridMultilevel"/>
    <w:tmpl w:val="D40C838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54D6697A"/>
    <w:multiLevelType w:val="hybridMultilevel"/>
    <w:tmpl w:val="8D6AB2A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56930445"/>
    <w:multiLevelType w:val="hybridMultilevel"/>
    <w:tmpl w:val="1B6A1BD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F61534"/>
    <w:multiLevelType w:val="hybridMultilevel"/>
    <w:tmpl w:val="FA509066"/>
    <w:lvl w:ilvl="0" w:tplc="0A6E73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042480"/>
    <w:multiLevelType w:val="multilevel"/>
    <w:tmpl w:val="08AE456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5421DF"/>
    <w:multiLevelType w:val="hybridMultilevel"/>
    <w:tmpl w:val="5F9447F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F763DE"/>
    <w:multiLevelType w:val="hybridMultilevel"/>
    <w:tmpl w:val="DE421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3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</w:num>
  <w:num w:numId="7">
    <w:abstractNumId w:val="31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30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7"/>
  </w:num>
  <w:num w:numId="19">
    <w:abstractNumId w:val="4"/>
  </w:num>
  <w:num w:numId="20">
    <w:abstractNumId w:val="14"/>
  </w:num>
  <w:num w:numId="21">
    <w:abstractNumId w:val="18"/>
  </w:num>
  <w:num w:numId="22">
    <w:abstractNumId w:val="29"/>
  </w:num>
  <w:num w:numId="23">
    <w:abstractNumId w:val="20"/>
  </w:num>
  <w:num w:numId="24">
    <w:abstractNumId w:val="1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2"/>
  </w:num>
  <w:num w:numId="30">
    <w:abstractNumId w:val="5"/>
  </w:num>
  <w:num w:numId="31">
    <w:abstractNumId w:val="1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076A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7338B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29E6"/>
    <w:rsid w:val="001E4534"/>
    <w:rsid w:val="001F1755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1E15"/>
    <w:rsid w:val="00364111"/>
    <w:rsid w:val="003646C9"/>
    <w:rsid w:val="00366ED2"/>
    <w:rsid w:val="00377437"/>
    <w:rsid w:val="00383305"/>
    <w:rsid w:val="00394CAA"/>
    <w:rsid w:val="003B2CBE"/>
    <w:rsid w:val="003B76DD"/>
    <w:rsid w:val="003C5D81"/>
    <w:rsid w:val="003D2D15"/>
    <w:rsid w:val="003E5CE8"/>
    <w:rsid w:val="0040194D"/>
    <w:rsid w:val="00407F9C"/>
    <w:rsid w:val="00411846"/>
    <w:rsid w:val="004213A3"/>
    <w:rsid w:val="004425DE"/>
    <w:rsid w:val="004629E2"/>
    <w:rsid w:val="00464CFC"/>
    <w:rsid w:val="004854A8"/>
    <w:rsid w:val="00486416"/>
    <w:rsid w:val="0049360A"/>
    <w:rsid w:val="0049391D"/>
    <w:rsid w:val="004A21AD"/>
    <w:rsid w:val="004A2F98"/>
    <w:rsid w:val="004A6027"/>
    <w:rsid w:val="004C25DB"/>
    <w:rsid w:val="004C49D4"/>
    <w:rsid w:val="004C6A75"/>
    <w:rsid w:val="004D3C94"/>
    <w:rsid w:val="004D5284"/>
    <w:rsid w:val="004D71EF"/>
    <w:rsid w:val="00531138"/>
    <w:rsid w:val="00544C65"/>
    <w:rsid w:val="00545071"/>
    <w:rsid w:val="00547DC2"/>
    <w:rsid w:val="005513ED"/>
    <w:rsid w:val="005604C1"/>
    <w:rsid w:val="00573CB4"/>
    <w:rsid w:val="00576AF9"/>
    <w:rsid w:val="00577385"/>
    <w:rsid w:val="00580EB1"/>
    <w:rsid w:val="00592C24"/>
    <w:rsid w:val="005A4F30"/>
    <w:rsid w:val="005C03A4"/>
    <w:rsid w:val="005F2007"/>
    <w:rsid w:val="005F2787"/>
    <w:rsid w:val="00615DC7"/>
    <w:rsid w:val="00624DA9"/>
    <w:rsid w:val="00627105"/>
    <w:rsid w:val="00630EBE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2D40"/>
    <w:rsid w:val="007E4AB3"/>
    <w:rsid w:val="00804AD3"/>
    <w:rsid w:val="00821F2D"/>
    <w:rsid w:val="008313C8"/>
    <w:rsid w:val="0085013F"/>
    <w:rsid w:val="00855F73"/>
    <w:rsid w:val="00856765"/>
    <w:rsid w:val="0087448F"/>
    <w:rsid w:val="008819AC"/>
    <w:rsid w:val="00882136"/>
    <w:rsid w:val="008853DE"/>
    <w:rsid w:val="008D5D8A"/>
    <w:rsid w:val="008E23B3"/>
    <w:rsid w:val="008E6B5D"/>
    <w:rsid w:val="008F3C1B"/>
    <w:rsid w:val="008F3CC0"/>
    <w:rsid w:val="0092679B"/>
    <w:rsid w:val="00926B6B"/>
    <w:rsid w:val="009453CA"/>
    <w:rsid w:val="009460B8"/>
    <w:rsid w:val="00971C07"/>
    <w:rsid w:val="009904DD"/>
    <w:rsid w:val="009944F0"/>
    <w:rsid w:val="009A14C8"/>
    <w:rsid w:val="009A4095"/>
    <w:rsid w:val="009A6E46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73149"/>
    <w:rsid w:val="00A81438"/>
    <w:rsid w:val="00A83441"/>
    <w:rsid w:val="00A8567D"/>
    <w:rsid w:val="00A86B65"/>
    <w:rsid w:val="00A959DE"/>
    <w:rsid w:val="00AA393A"/>
    <w:rsid w:val="00AB0E02"/>
    <w:rsid w:val="00AB6535"/>
    <w:rsid w:val="00AC067B"/>
    <w:rsid w:val="00AC6751"/>
    <w:rsid w:val="00AD2CDD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62444"/>
    <w:rsid w:val="00B70EA7"/>
    <w:rsid w:val="00B737FE"/>
    <w:rsid w:val="00B966D1"/>
    <w:rsid w:val="00BA2CE7"/>
    <w:rsid w:val="00BA5AE5"/>
    <w:rsid w:val="00BA7A9C"/>
    <w:rsid w:val="00BC0290"/>
    <w:rsid w:val="00BC5400"/>
    <w:rsid w:val="00BD39D8"/>
    <w:rsid w:val="00C104B0"/>
    <w:rsid w:val="00C22714"/>
    <w:rsid w:val="00C266C1"/>
    <w:rsid w:val="00C3209C"/>
    <w:rsid w:val="00C357F2"/>
    <w:rsid w:val="00C558EE"/>
    <w:rsid w:val="00C560C3"/>
    <w:rsid w:val="00C63FF2"/>
    <w:rsid w:val="00C742C0"/>
    <w:rsid w:val="00C81916"/>
    <w:rsid w:val="00CA79FB"/>
    <w:rsid w:val="00CB0AAB"/>
    <w:rsid w:val="00CC5D3B"/>
    <w:rsid w:val="00CE1307"/>
    <w:rsid w:val="00CE1AD2"/>
    <w:rsid w:val="00CF5C6F"/>
    <w:rsid w:val="00D01987"/>
    <w:rsid w:val="00D1155F"/>
    <w:rsid w:val="00D158AF"/>
    <w:rsid w:val="00D20815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0D2A"/>
    <w:rsid w:val="00E42420"/>
    <w:rsid w:val="00E51FCE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0E48"/>
    <w:rsid w:val="00F62F8B"/>
    <w:rsid w:val="00F64165"/>
    <w:rsid w:val="00FA1350"/>
    <w:rsid w:val="00FB05A6"/>
    <w:rsid w:val="00FB27DC"/>
    <w:rsid w:val="00FB7586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3B2CBE"/>
    <w:pPr>
      <w:ind w:left="720"/>
      <w:contextualSpacing/>
    </w:pPr>
  </w:style>
  <w:style w:type="paragraph" w:styleId="ab">
    <w:name w:val="Normal (Web)"/>
    <w:basedOn w:val="a"/>
    <w:uiPriority w:val="99"/>
    <w:rsid w:val="001E453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630EB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EBE"/>
    <w:pPr>
      <w:widowControl w:val="0"/>
      <w:shd w:val="clear" w:color="auto" w:fill="FFFFFF"/>
      <w:spacing w:before="300" w:line="317" w:lineRule="exact"/>
      <w:jc w:val="center"/>
    </w:pPr>
    <w:rPr>
      <w:sz w:val="28"/>
      <w:szCs w:val="28"/>
    </w:rPr>
  </w:style>
  <w:style w:type="character" w:customStyle="1" w:styleId="4">
    <w:name w:val="Заголовок №4_"/>
    <w:link w:val="40"/>
    <w:locked/>
    <w:rsid w:val="00630EB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630EBE"/>
    <w:pPr>
      <w:widowControl w:val="0"/>
      <w:shd w:val="clear" w:color="auto" w:fill="FFFFFF"/>
      <w:spacing w:before="360" w:line="322" w:lineRule="exact"/>
      <w:outlineLvl w:val="3"/>
    </w:pPr>
    <w:rPr>
      <w:b/>
      <w:bCs/>
      <w:sz w:val="28"/>
      <w:szCs w:val="28"/>
    </w:rPr>
  </w:style>
  <w:style w:type="character" w:customStyle="1" w:styleId="41">
    <w:name w:val="Основной текст (4)_"/>
    <w:link w:val="42"/>
    <w:locked/>
    <w:rsid w:val="00630EBE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30EBE"/>
    <w:pPr>
      <w:widowControl w:val="0"/>
      <w:shd w:val="clear" w:color="auto" w:fill="FFFFFF"/>
      <w:spacing w:line="317" w:lineRule="exact"/>
      <w:jc w:val="both"/>
    </w:pPr>
    <w:rPr>
      <w:b/>
      <w:bCs/>
      <w:sz w:val="28"/>
      <w:szCs w:val="28"/>
    </w:rPr>
  </w:style>
  <w:style w:type="table" w:styleId="ac">
    <w:name w:val="Table Grid"/>
    <w:basedOn w:val="a1"/>
    <w:uiPriority w:val="39"/>
    <w:locked/>
    <w:rsid w:val="00630EB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e"/>
    <w:uiPriority w:val="1"/>
    <w:locked/>
    <w:rsid w:val="00615DC7"/>
    <w:rPr>
      <w:rFonts w:ascii="Calibri" w:eastAsia="Calibri" w:hAnsi="Calibri" w:cs="Calibri"/>
      <w:lang w:eastAsia="en-US"/>
    </w:rPr>
  </w:style>
  <w:style w:type="paragraph" w:styleId="ae">
    <w:name w:val="No Spacing"/>
    <w:link w:val="ad"/>
    <w:uiPriority w:val="1"/>
    <w:qFormat/>
    <w:rsid w:val="00615DC7"/>
    <w:rPr>
      <w:rFonts w:ascii="Calibri" w:eastAsia="Calibri" w:hAnsi="Calibri" w:cs="Calibri"/>
      <w:lang w:eastAsia="en-US"/>
    </w:rPr>
  </w:style>
  <w:style w:type="character" w:customStyle="1" w:styleId="aa">
    <w:name w:val="Абзац списка Знак"/>
    <w:link w:val="a9"/>
    <w:uiPriority w:val="34"/>
    <w:locked/>
    <w:rsid w:val="009A6E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43D6-B45C-4C2A-BC38-3D790EB7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14143</Words>
  <Characters>8063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RePack by Diakov</cp:lastModifiedBy>
  <cp:revision>12</cp:revision>
  <cp:lastPrinted>2021-03-19T07:37:00Z</cp:lastPrinted>
  <dcterms:created xsi:type="dcterms:W3CDTF">2021-03-16T09:10:00Z</dcterms:created>
  <dcterms:modified xsi:type="dcterms:W3CDTF">2021-04-11T21:28:00Z</dcterms:modified>
</cp:coreProperties>
</file>