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832DC6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</w:t>
      </w:r>
      <w:r w:rsidR="00907717">
        <w:rPr>
          <w:noProof/>
          <w:sz w:val="20"/>
          <w:lang w:val="uk-UA"/>
        </w:rPr>
        <w:t xml:space="preserve">   </w:t>
      </w:r>
      <w:r w:rsidR="008D7314" w:rsidRPr="005F2060">
        <w:rPr>
          <w:noProof/>
          <w:sz w:val="20"/>
        </w:rPr>
        <w:t xml:space="preserve">           </w:t>
      </w:r>
      <w:r w:rsidR="00907717">
        <w:rPr>
          <w:noProof/>
          <w:sz w:val="20"/>
          <w:lang w:val="uk-UA"/>
        </w:rPr>
        <w:t xml:space="preserve">                   </w:t>
      </w:r>
      <w:r>
        <w:rPr>
          <w:noProof/>
          <w:sz w:val="20"/>
          <w:lang w:val="uk-UA"/>
        </w:rPr>
        <w:t xml:space="preserve">      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B62045">
        <w:rPr>
          <w:sz w:val="28"/>
          <w:szCs w:val="28"/>
          <w:lang w:val="uk-UA"/>
        </w:rPr>
        <w:t xml:space="preserve">тридцять третя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CA7245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B62045">
        <w:rPr>
          <w:sz w:val="28"/>
          <w:szCs w:val="28"/>
          <w:lang w:val="uk-UA"/>
        </w:rPr>
        <w:t xml:space="preserve"> 21 грудня </w:t>
      </w:r>
      <w:r w:rsidR="008D7314">
        <w:rPr>
          <w:sz w:val="28"/>
          <w:szCs w:val="28"/>
          <w:lang w:val="uk-UA"/>
        </w:rPr>
        <w:t xml:space="preserve"> 2018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5F2060">
        <w:rPr>
          <w:sz w:val="28"/>
          <w:szCs w:val="28"/>
          <w:lang w:val="uk-UA"/>
        </w:rPr>
        <w:t xml:space="preserve">               № 817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3F7FD5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  <w:r w:rsidR="00CA7245">
        <w:rPr>
          <w:b/>
          <w:sz w:val="28"/>
          <w:szCs w:val="28"/>
          <w:lang w:val="uk-UA"/>
        </w:rPr>
        <w:t xml:space="preserve">Програми </w:t>
      </w:r>
      <w:r w:rsidR="005F2060">
        <w:rPr>
          <w:b/>
          <w:sz w:val="28"/>
          <w:szCs w:val="28"/>
          <w:lang w:val="uk-UA"/>
        </w:rPr>
        <w:t>організації</w:t>
      </w:r>
    </w:p>
    <w:p w:rsidR="00CA7245" w:rsidRPr="00CA7245" w:rsidRDefault="00195D23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х</w:t>
      </w:r>
      <w:r w:rsidR="005F2060">
        <w:rPr>
          <w:b/>
          <w:sz w:val="28"/>
          <w:szCs w:val="28"/>
          <w:lang w:val="uk-UA"/>
        </w:rPr>
        <w:t xml:space="preserve">арчування в закладах  загальної </w:t>
      </w:r>
    </w:p>
    <w:p w:rsidR="00CA7245" w:rsidRDefault="00195D23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середньої освіти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</w:p>
    <w:p w:rsidR="003F7FD5" w:rsidRDefault="00195D23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</w:t>
      </w:r>
      <w:r w:rsidR="008D7314">
        <w:rPr>
          <w:b/>
          <w:sz w:val="28"/>
          <w:szCs w:val="28"/>
          <w:lang w:val="uk-UA"/>
        </w:rPr>
        <w:t>на 2019</w:t>
      </w:r>
      <w:r w:rsidR="00CA7245">
        <w:rPr>
          <w:b/>
          <w:sz w:val="28"/>
          <w:szCs w:val="28"/>
          <w:lang w:val="uk-UA"/>
        </w:rPr>
        <w:t xml:space="preserve"> рік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</w:t>
      </w:r>
      <w:r w:rsidR="00CA7245">
        <w:rPr>
          <w:sz w:val="28"/>
          <w:szCs w:val="28"/>
          <w:lang w:val="uk-UA"/>
        </w:rPr>
        <w:t>нформац</w:t>
      </w:r>
      <w:r w:rsidR="00195D23">
        <w:rPr>
          <w:sz w:val="28"/>
          <w:szCs w:val="28"/>
          <w:lang w:val="uk-UA"/>
        </w:rPr>
        <w:t xml:space="preserve">ію начальника відділу освіти, охорони здоров’я і соціально-культурної сфери </w:t>
      </w:r>
      <w:proofErr w:type="spellStart"/>
      <w:r w:rsidR="00195D23">
        <w:rPr>
          <w:sz w:val="28"/>
          <w:szCs w:val="28"/>
          <w:lang w:val="uk-UA"/>
        </w:rPr>
        <w:t>Новоборівської</w:t>
      </w:r>
      <w:proofErr w:type="spellEnd"/>
      <w:r w:rsidR="00195D23">
        <w:rPr>
          <w:sz w:val="28"/>
          <w:szCs w:val="28"/>
          <w:lang w:val="uk-UA"/>
        </w:rPr>
        <w:t xml:space="preserve"> селищної ради </w:t>
      </w:r>
      <w:proofErr w:type="spellStart"/>
      <w:r w:rsidR="00195D23">
        <w:rPr>
          <w:sz w:val="28"/>
          <w:szCs w:val="28"/>
          <w:lang w:val="uk-UA"/>
        </w:rPr>
        <w:t>Прищепа</w:t>
      </w:r>
      <w:proofErr w:type="spellEnd"/>
      <w:r w:rsidR="00195D23">
        <w:rPr>
          <w:sz w:val="28"/>
          <w:szCs w:val="28"/>
          <w:lang w:val="uk-UA"/>
        </w:rPr>
        <w:t xml:space="preserve"> Л.А.</w:t>
      </w:r>
      <w:r w:rsidR="00CA7245">
        <w:rPr>
          <w:sz w:val="28"/>
          <w:szCs w:val="28"/>
          <w:lang w:val="uk-UA"/>
        </w:rPr>
        <w:t xml:space="preserve">, </w:t>
      </w:r>
      <w:r w:rsidR="00195D23">
        <w:rPr>
          <w:sz w:val="28"/>
          <w:szCs w:val="28"/>
          <w:lang w:val="uk-UA"/>
        </w:rPr>
        <w:t xml:space="preserve">про затвердження Програми організації харчування в закладах загальної середньої освіти </w:t>
      </w:r>
      <w:proofErr w:type="spellStart"/>
      <w:r w:rsidR="00195D23">
        <w:rPr>
          <w:sz w:val="28"/>
          <w:szCs w:val="28"/>
          <w:lang w:val="uk-UA"/>
        </w:rPr>
        <w:t>Новоборівської</w:t>
      </w:r>
      <w:proofErr w:type="spellEnd"/>
      <w:r w:rsidR="00195D23">
        <w:rPr>
          <w:sz w:val="28"/>
          <w:szCs w:val="28"/>
          <w:lang w:val="uk-UA"/>
        </w:rPr>
        <w:t xml:space="preserve"> селищної ради на 2019 рік,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Україні», 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CA7245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</w:t>
      </w:r>
      <w:r w:rsidR="00EE2E03">
        <w:rPr>
          <w:sz w:val="28"/>
          <w:szCs w:val="28"/>
          <w:lang w:val="uk-UA"/>
        </w:rPr>
        <w:t xml:space="preserve">організації харчування в закладах загальної середньої освіти </w:t>
      </w:r>
      <w:proofErr w:type="spellStart"/>
      <w:r w:rsidR="00EE2E03">
        <w:rPr>
          <w:sz w:val="28"/>
          <w:szCs w:val="28"/>
          <w:lang w:val="uk-UA"/>
        </w:rPr>
        <w:t>Новоборівської</w:t>
      </w:r>
      <w:proofErr w:type="spellEnd"/>
      <w:r w:rsidR="00EE2E03">
        <w:rPr>
          <w:sz w:val="28"/>
          <w:szCs w:val="28"/>
          <w:lang w:val="uk-UA"/>
        </w:rPr>
        <w:t xml:space="preserve"> селищної ради </w:t>
      </w:r>
      <w:r w:rsidR="008D7314">
        <w:rPr>
          <w:sz w:val="28"/>
          <w:szCs w:val="28"/>
          <w:lang w:val="uk-UA"/>
        </w:rPr>
        <w:t>на 2019</w:t>
      </w:r>
      <w:r>
        <w:rPr>
          <w:sz w:val="28"/>
          <w:szCs w:val="28"/>
          <w:lang w:val="uk-UA"/>
        </w:rPr>
        <w:t xml:space="preserve"> рік. (додаєть</w:t>
      </w:r>
      <w:r w:rsidR="003F7FD5">
        <w:rPr>
          <w:sz w:val="28"/>
          <w:szCs w:val="28"/>
          <w:lang w:val="uk-UA"/>
        </w:rPr>
        <w:t>ся):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A7245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</w:t>
      </w:r>
      <w:r w:rsidR="00CA7245">
        <w:rPr>
          <w:sz w:val="28"/>
          <w:szCs w:val="28"/>
          <w:lang w:val="uk-UA"/>
        </w:rPr>
        <w:t xml:space="preserve">ням </w:t>
      </w:r>
      <w:r w:rsidR="00233009">
        <w:rPr>
          <w:sz w:val="28"/>
          <w:szCs w:val="28"/>
          <w:lang w:val="uk-UA"/>
        </w:rPr>
        <w:t xml:space="preserve">даного </w:t>
      </w:r>
      <w:r w:rsidR="00CA7245">
        <w:rPr>
          <w:sz w:val="28"/>
          <w:szCs w:val="28"/>
          <w:lang w:val="uk-UA"/>
        </w:rPr>
        <w:t>рішення покласти на постійну комісію селищної ради  з питань бюджету, фінансів і цін.</w:t>
      </w:r>
    </w:p>
    <w:p w:rsidR="00CA7245" w:rsidRDefault="00CA7245" w:rsidP="00CA7245">
      <w:pPr>
        <w:pStyle w:val="a9"/>
        <w:rPr>
          <w:sz w:val="28"/>
          <w:szCs w:val="28"/>
          <w:lang w:val="uk-UA"/>
        </w:rPr>
      </w:pPr>
    </w:p>
    <w:p w:rsidR="00CA7245" w:rsidRDefault="00CA7245" w:rsidP="00CA7245">
      <w:pPr>
        <w:pStyle w:val="a9"/>
        <w:ind w:left="1065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D7314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832DC6" w:rsidRDefault="00832DC6" w:rsidP="00832D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ЗАТВЕРДЖЕНО</w:t>
      </w:r>
    </w:p>
    <w:p w:rsidR="00832DC6" w:rsidRDefault="00832DC6" w:rsidP="00832D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рішенням 33 сесії 7 скликання                       </w:t>
      </w:r>
    </w:p>
    <w:p w:rsidR="00832DC6" w:rsidRDefault="00832DC6" w:rsidP="00832D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селищної ради від 21.12.2018р. № </w:t>
      </w:r>
      <w:r>
        <w:rPr>
          <w:sz w:val="28"/>
          <w:szCs w:val="28"/>
          <w:lang w:val="uk-UA"/>
        </w:rPr>
        <w:t>817</w:t>
      </w:r>
      <w:bookmarkStart w:id="0" w:name="_GoBack"/>
      <w:bookmarkEnd w:id="0"/>
    </w:p>
    <w:p w:rsidR="00832DC6" w:rsidRDefault="00832DC6" w:rsidP="00832D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Селищний голова</w:t>
      </w:r>
    </w:p>
    <w:p w:rsidR="00832DC6" w:rsidRDefault="00832DC6" w:rsidP="00832D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______________</w:t>
      </w:r>
      <w:proofErr w:type="spellStart"/>
      <w:r>
        <w:rPr>
          <w:sz w:val="28"/>
          <w:szCs w:val="28"/>
          <w:lang w:val="uk-UA"/>
        </w:rPr>
        <w:t>Г.Л.Рудюк</w:t>
      </w:r>
      <w:proofErr w:type="spellEnd"/>
    </w:p>
    <w:p w:rsidR="00832DC6" w:rsidRDefault="00832DC6" w:rsidP="00832D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</w:p>
    <w:p w:rsidR="00832DC6" w:rsidRDefault="00832DC6" w:rsidP="00832DC6">
      <w:pPr>
        <w:rPr>
          <w:b/>
          <w:color w:val="FF0000"/>
          <w:sz w:val="28"/>
          <w:szCs w:val="28"/>
          <w:lang w:val="uk-UA"/>
        </w:rPr>
      </w:pPr>
    </w:p>
    <w:p w:rsidR="00832DC6" w:rsidRDefault="00832DC6" w:rsidP="00832DC6">
      <w:pPr>
        <w:spacing w:line="360" w:lineRule="auto"/>
        <w:rPr>
          <w:b/>
          <w:color w:val="FF0000"/>
          <w:sz w:val="28"/>
          <w:szCs w:val="28"/>
          <w:lang w:val="uk-UA"/>
        </w:rPr>
      </w:pPr>
    </w:p>
    <w:p w:rsidR="00832DC6" w:rsidRDefault="00832DC6" w:rsidP="00832DC6">
      <w:pPr>
        <w:spacing w:line="360" w:lineRule="auto"/>
        <w:rPr>
          <w:b/>
          <w:sz w:val="28"/>
          <w:szCs w:val="28"/>
          <w:lang w:val="uk-UA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jc w:val="left"/>
        <w:rPr>
          <w:rFonts w:ascii="Times New Roman" w:hAnsi="Times New Roman"/>
          <w:b/>
          <w:sz w:val="28"/>
          <w:szCs w:val="28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32DC6" w:rsidRDefault="00832DC6" w:rsidP="00832DC6">
      <w:pPr>
        <w:pStyle w:val="20"/>
        <w:shd w:val="clear" w:color="auto" w:fill="auto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Програма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організації</w:t>
      </w:r>
      <w:proofErr w:type="spellEnd"/>
      <w:r>
        <w:rPr>
          <w:b/>
          <w:sz w:val="48"/>
          <w:szCs w:val="48"/>
        </w:rPr>
        <w:t xml:space="preserve"> </w:t>
      </w:r>
      <w:proofErr w:type="spellStart"/>
      <w:r>
        <w:rPr>
          <w:b/>
          <w:sz w:val="48"/>
          <w:szCs w:val="48"/>
        </w:rPr>
        <w:t>харчування</w:t>
      </w:r>
      <w:proofErr w:type="spellEnd"/>
      <w:r>
        <w:rPr>
          <w:b/>
          <w:sz w:val="48"/>
          <w:szCs w:val="48"/>
        </w:rPr>
        <w:t xml:space="preserve"> </w:t>
      </w:r>
    </w:p>
    <w:p w:rsidR="00832DC6" w:rsidRDefault="00832DC6" w:rsidP="00832DC6">
      <w:pPr>
        <w:pStyle w:val="20"/>
        <w:shd w:val="clear" w:color="auto" w:fill="auto"/>
        <w:spacing w:line="240" w:lineRule="auto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в закладах </w:t>
      </w:r>
      <w:proofErr w:type="spellStart"/>
      <w:r>
        <w:rPr>
          <w:rFonts w:ascii="Times New Roman" w:hAnsi="Times New Roman"/>
          <w:b/>
          <w:sz w:val="48"/>
          <w:szCs w:val="48"/>
        </w:rPr>
        <w:t>загальної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sz w:val="48"/>
          <w:szCs w:val="48"/>
        </w:rPr>
        <w:t>середньої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sz w:val="48"/>
          <w:szCs w:val="48"/>
        </w:rPr>
        <w:t>освіти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48"/>
          <w:szCs w:val="48"/>
        </w:rPr>
        <w:t>Новоборівської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</w:t>
      </w:r>
      <w:proofErr w:type="spellStart"/>
      <w:r>
        <w:rPr>
          <w:rFonts w:ascii="Times New Roman" w:hAnsi="Times New Roman"/>
          <w:b/>
          <w:sz w:val="48"/>
          <w:szCs w:val="48"/>
        </w:rPr>
        <w:t>селищної</w:t>
      </w:r>
      <w:proofErr w:type="spellEnd"/>
      <w:r>
        <w:rPr>
          <w:rFonts w:ascii="Times New Roman" w:hAnsi="Times New Roman"/>
          <w:b/>
          <w:sz w:val="48"/>
          <w:szCs w:val="48"/>
        </w:rPr>
        <w:t xml:space="preserve"> </w:t>
      </w:r>
      <w:proofErr w:type="gramStart"/>
      <w:r>
        <w:rPr>
          <w:rFonts w:ascii="Times New Roman" w:hAnsi="Times New Roman"/>
          <w:b/>
          <w:sz w:val="48"/>
          <w:szCs w:val="48"/>
        </w:rPr>
        <w:t>ради</w:t>
      </w:r>
      <w:proofErr w:type="gramEnd"/>
    </w:p>
    <w:p w:rsidR="00832DC6" w:rsidRDefault="00832DC6" w:rsidP="00832DC6">
      <w:pPr>
        <w:pStyle w:val="20"/>
        <w:shd w:val="clear" w:color="auto" w:fill="auto"/>
        <w:spacing w:line="240" w:lineRule="auto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на 2019 </w:t>
      </w:r>
      <w:proofErr w:type="spellStart"/>
      <w:proofErr w:type="gramStart"/>
      <w:r>
        <w:rPr>
          <w:rFonts w:ascii="Times New Roman" w:hAnsi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/>
          <w:b/>
          <w:sz w:val="48"/>
          <w:szCs w:val="48"/>
        </w:rPr>
        <w:t>ік</w:t>
      </w:r>
      <w:proofErr w:type="spellEnd"/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Нова </w:t>
      </w:r>
      <w:proofErr w:type="spellStart"/>
      <w:r>
        <w:rPr>
          <w:sz w:val="28"/>
          <w:szCs w:val="28"/>
        </w:rPr>
        <w:t>Борва</w:t>
      </w:r>
      <w:proofErr w:type="spellEnd"/>
      <w:r>
        <w:rPr>
          <w:sz w:val="28"/>
          <w:szCs w:val="28"/>
        </w:rPr>
        <w:t xml:space="preserve"> 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>
        <w:rPr>
          <w:sz w:val="28"/>
          <w:szCs w:val="28"/>
          <w:lang w:val="uk-UA" w:eastAsia="uk-UA"/>
        </w:rPr>
        <w:br w:type="page"/>
      </w:r>
      <w:r>
        <w:rPr>
          <w:b/>
          <w:sz w:val="28"/>
          <w:szCs w:val="28"/>
        </w:rPr>
        <w:lastRenderedPageBreak/>
        <w:t>ПАСПОРТ ПРОГРАМИ</w:t>
      </w:r>
    </w:p>
    <w:tbl>
      <w:tblPr>
        <w:tblpPr w:leftFromText="180" w:rightFromText="180" w:vertAnchor="text" w:horzAnchor="margin" w:tblpY="4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"/>
        <w:gridCol w:w="3079"/>
        <w:gridCol w:w="5790"/>
      </w:tblGrid>
      <w:tr w:rsidR="00832DC6" w:rsidTr="00832DC6">
        <w:trPr>
          <w:trHeight w:val="95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Ініціатор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розроблення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Відділ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охорони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здоров'я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іально-культурної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сфери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ради</w:t>
            </w:r>
          </w:p>
        </w:tc>
      </w:tr>
      <w:tr w:rsidR="00832DC6" w:rsidTr="00832DC6">
        <w:trPr>
          <w:trHeight w:val="1163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Дата, номер і </w:t>
            </w:r>
            <w:proofErr w:type="spellStart"/>
            <w:r>
              <w:rPr>
                <w:sz w:val="28"/>
                <w:szCs w:val="28"/>
                <w:lang w:eastAsia="en-US"/>
              </w:rPr>
              <w:t>назва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документа органу </w:t>
            </w:r>
            <w:proofErr w:type="spellStart"/>
            <w:r>
              <w:rPr>
                <w:sz w:val="28"/>
                <w:szCs w:val="28"/>
                <w:lang w:eastAsia="en-US"/>
              </w:rPr>
              <w:t>виконавчої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влади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про </w:t>
            </w:r>
            <w:proofErr w:type="spellStart"/>
            <w:r>
              <w:rPr>
                <w:sz w:val="28"/>
                <w:szCs w:val="28"/>
                <w:lang w:eastAsia="en-US"/>
              </w:rPr>
              <w:t>розроблення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lang w:val="uk-UA"/>
              </w:rPr>
              <w:t>Закони України «Про освіту», «Про дошкільну освіту»,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«Про охорону дитинства», </w:t>
            </w:r>
            <w:r>
              <w:rPr>
                <w:bCs/>
                <w:sz w:val="28"/>
                <w:szCs w:val="28"/>
                <w:lang w:val="uk-UA"/>
              </w:rPr>
              <w:t>«Про місцеве самоврядування в Україні» (зі змінами)</w:t>
            </w:r>
            <w:r>
              <w:rPr>
                <w:sz w:val="28"/>
                <w:szCs w:val="28"/>
                <w:lang w:val="uk-UA"/>
              </w:rPr>
              <w:t xml:space="preserve">, постанова Кабінету Міністрів України від 02.02.2011 №116 «Про затвердження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 (зі змінами), </w:t>
            </w:r>
            <w:r>
              <w:rPr>
                <w:sz w:val="28"/>
                <w:lang w:val="uk-UA"/>
              </w:rPr>
              <w:t xml:space="preserve">розпорядження Кабінету Міністрів України від 07.11.2012 № 865-р «Про затвердження плану заходів щодо забезпечення дітей високоякісними продуктами харчування вітчизняного виробництва», наказу Міністерства освіти і науки України від 21.11.2002 № 667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  (зі змінами); спільний наказ Міністерства освіти і науки України та Міністерства охорони здоров’я України від 26.02.2013 №202/165 «Про затвердження Змін до Інструкції з організації харчування дітей у дошкільних навчальних закладах»;   спільний наказ Міністерства освіти і науки України та Міністерства охорони здоров’я України від 01.06.2005 №242/329 «Про затвердження Порядку організації харчування дітей у навчальних та оздоровчих закладах»; </w:t>
            </w:r>
            <w:r>
              <w:rPr>
                <w:sz w:val="28"/>
                <w:szCs w:val="28"/>
                <w:lang w:val="uk-UA"/>
              </w:rPr>
              <w:t>постанова  Кабінету Міністрів України від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19.06.2002 року № 856 «Про організацію харчування окремих категорій учнів у загальноосвітніх навчальних закладах»,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Закон України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про внесення змін до деяких законодавчих актів України від 24.12.2015 №911-19</w:t>
            </w:r>
          </w:p>
        </w:tc>
      </w:tr>
      <w:tr w:rsidR="00832DC6" w:rsidTr="00832DC6">
        <w:trPr>
          <w:trHeight w:val="31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Розробник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Відділ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охорони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здоров'я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іально-культурної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сфери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ради</w:t>
            </w:r>
          </w:p>
        </w:tc>
      </w:tr>
      <w:tr w:rsidR="00832DC6" w:rsidTr="00832DC6">
        <w:trPr>
          <w:trHeight w:val="143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Відповідальні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виконавці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Відділ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охорони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здоров'я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іально-культурної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сфери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ради,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рада, </w:t>
            </w:r>
            <w:proofErr w:type="spellStart"/>
            <w:r>
              <w:rPr>
                <w:sz w:val="28"/>
                <w:szCs w:val="28"/>
                <w:lang w:eastAsia="en-US"/>
              </w:rPr>
              <w:t>керівники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закладів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загальної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середньої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громади</w:t>
            </w:r>
            <w:proofErr w:type="spellEnd"/>
          </w:p>
        </w:tc>
      </w:tr>
      <w:tr w:rsidR="00832DC6" w:rsidTr="00832DC6">
        <w:trPr>
          <w:trHeight w:val="143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Учасники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Відділ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</w:t>
            </w:r>
            <w:proofErr w:type="spellStart"/>
            <w:r>
              <w:rPr>
                <w:sz w:val="28"/>
                <w:szCs w:val="28"/>
                <w:lang w:eastAsia="en-US"/>
              </w:rPr>
              <w:t>охорони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здоров'я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соц</w:t>
            </w:r>
            <w:proofErr w:type="gramEnd"/>
            <w:r>
              <w:rPr>
                <w:sz w:val="28"/>
                <w:szCs w:val="28"/>
                <w:lang w:eastAsia="en-US"/>
              </w:rPr>
              <w:t>іально-культурної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сфери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ради, </w:t>
            </w:r>
            <w:proofErr w:type="spellStart"/>
            <w:r>
              <w:rPr>
                <w:sz w:val="28"/>
                <w:szCs w:val="28"/>
                <w:lang w:eastAsia="en-US"/>
              </w:rPr>
              <w:t>керівники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</w:t>
            </w:r>
            <w:proofErr w:type="spellStart"/>
            <w:r>
              <w:rPr>
                <w:sz w:val="28"/>
                <w:szCs w:val="28"/>
                <w:lang w:eastAsia="en-US"/>
              </w:rPr>
              <w:t>закладів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загальної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середньої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району,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селищна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рада</w:t>
            </w:r>
          </w:p>
        </w:tc>
      </w:tr>
      <w:tr w:rsidR="00832DC6" w:rsidTr="00832DC6">
        <w:trPr>
          <w:trHeight w:val="143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Термін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реалізації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2019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sz w:val="28"/>
                <w:szCs w:val="28"/>
                <w:lang w:eastAsia="en-US"/>
              </w:rPr>
              <w:t>ік</w:t>
            </w:r>
            <w:proofErr w:type="spellEnd"/>
          </w:p>
        </w:tc>
      </w:tr>
      <w:tr w:rsidR="00832DC6" w:rsidTr="00832DC6">
        <w:trPr>
          <w:trHeight w:val="143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2DC6" w:rsidRDefault="00832DC6">
            <w:pPr>
              <w:pStyle w:val="21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Джерела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фінансування</w:t>
            </w:r>
            <w:proofErr w:type="spellEnd"/>
          </w:p>
        </w:tc>
        <w:tc>
          <w:tcPr>
            <w:tcW w:w="6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DC6" w:rsidRDefault="00832DC6" w:rsidP="00832DC6">
            <w:pPr>
              <w:pStyle w:val="21"/>
              <w:numPr>
                <w:ilvl w:val="0"/>
                <w:numId w:val="16"/>
              </w:numPr>
              <w:shd w:val="clear" w:color="auto" w:fill="auto"/>
              <w:spacing w:before="0" w:line="240" w:lineRule="auto"/>
              <w:ind w:left="0"/>
              <w:jc w:val="both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селищний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бюджет;</w:t>
            </w:r>
          </w:p>
          <w:p w:rsidR="00832DC6" w:rsidRDefault="00832DC6" w:rsidP="00832DC6">
            <w:pPr>
              <w:pStyle w:val="21"/>
              <w:numPr>
                <w:ilvl w:val="0"/>
                <w:numId w:val="16"/>
              </w:numPr>
              <w:shd w:val="clear" w:color="auto" w:fill="auto"/>
              <w:spacing w:before="0" w:line="24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кошти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дотації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на </w:t>
            </w:r>
            <w:proofErr w:type="spellStart"/>
            <w:r>
              <w:rPr>
                <w:sz w:val="28"/>
                <w:szCs w:val="28"/>
                <w:lang w:eastAsia="en-US"/>
              </w:rPr>
              <w:t>освіту</w:t>
            </w:r>
            <w:proofErr w:type="spellEnd"/>
            <w:r>
              <w:rPr>
                <w:sz w:val="28"/>
                <w:szCs w:val="28"/>
                <w:lang w:eastAsia="en-US"/>
              </w:rPr>
              <w:t>;</w:t>
            </w:r>
          </w:p>
          <w:p w:rsidR="00832DC6" w:rsidRDefault="00832DC6" w:rsidP="00832DC6">
            <w:pPr>
              <w:pStyle w:val="21"/>
              <w:numPr>
                <w:ilvl w:val="0"/>
                <w:numId w:val="16"/>
              </w:numPr>
              <w:shd w:val="clear" w:color="auto" w:fill="auto"/>
              <w:spacing w:before="0" w:line="240" w:lineRule="auto"/>
              <w:ind w:left="0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інші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джерела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фінансування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, не </w:t>
            </w:r>
            <w:proofErr w:type="spellStart"/>
            <w:r>
              <w:rPr>
                <w:sz w:val="28"/>
                <w:szCs w:val="28"/>
                <w:lang w:eastAsia="en-US"/>
              </w:rPr>
              <w:t>заборонені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законодавством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України</w:t>
            </w:r>
            <w:proofErr w:type="spellEnd"/>
          </w:p>
        </w:tc>
      </w:tr>
    </w:tbl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b/>
          <w:sz w:val="28"/>
          <w:szCs w:val="28"/>
          <w:lang w:val="uk-UA" w:eastAsia="uk-UA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proofErr w:type="spellStart"/>
      <w:r>
        <w:rPr>
          <w:b/>
          <w:sz w:val="28"/>
          <w:szCs w:val="28"/>
        </w:rPr>
        <w:t>Загальні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положення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Програма</w:t>
      </w:r>
      <w:proofErr w:type="spellEnd"/>
      <w:r>
        <w:rPr>
          <w:b/>
          <w:sz w:val="28"/>
          <w:szCs w:val="28"/>
        </w:rPr>
        <w:t xml:space="preserve"> </w:t>
      </w:r>
    </w:p>
    <w:p w:rsidR="00832DC6" w:rsidRDefault="00832DC6" w:rsidP="00832DC6">
      <w:pPr>
        <w:pStyle w:val="a9"/>
        <w:ind w:left="0"/>
        <w:jc w:val="center"/>
        <w:rPr>
          <w:b/>
          <w:sz w:val="28"/>
          <w:szCs w:val="28"/>
          <w:lang w:val="uk-UA"/>
        </w:rPr>
      </w:pPr>
    </w:p>
    <w:p w:rsidR="00832DC6" w:rsidRDefault="00832DC6" w:rsidP="00832DC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Найважливішими компонентами розвитку особистості дитини є її фізичне, психічне та духовне здоров'я, стан якого визначається впливом на нього усього комплексу соціально-економічних, екологічних і духовних факторів. Одним з основних завдань сучасної освітньої політики при організації навчально-виховного процесу є збереження здоров’я та формування здорового способу життя у підростаючого покоління. При цьому важливе значення має організація харчування вихованців у закладах дошкільної освіти, учнів у закладах загальної середньої освіти, дотримання фізіологічних та санітарних норм, забезпечення продуктами натурального походження з високою харчовою і біологічною цінністю, формування у шкільні роки відповідального ставлення дітей до власного здоров’я та вироблення навичок здорового способу життя, формування культури харчування з ранніх дитячих років.</w:t>
      </w:r>
    </w:p>
    <w:p w:rsidR="00832DC6" w:rsidRDefault="00832DC6" w:rsidP="00832DC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Сьогодні має місце поступове зростання поширеності серед підростаючого покоління </w:t>
      </w:r>
      <w:proofErr w:type="spellStart"/>
      <w:r>
        <w:rPr>
          <w:sz w:val="28"/>
          <w:szCs w:val="28"/>
          <w:lang w:val="uk-UA"/>
        </w:rPr>
        <w:t>хвороб</w:t>
      </w:r>
      <w:proofErr w:type="spellEnd"/>
      <w:r>
        <w:rPr>
          <w:sz w:val="28"/>
          <w:szCs w:val="28"/>
          <w:lang w:val="uk-UA"/>
        </w:rPr>
        <w:t xml:space="preserve"> органів травлення, що безпосередньо залежить від якості та організації харчування. Тому постала необхідність посилення роботи щодо дотримання норм харчування дітей шкільного віку, сприяння організації  безпечного та якісного харчування у закладах загальної середньої освіти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832DC6" w:rsidRDefault="00832DC6" w:rsidP="00832DC6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Відділом освіти, охорони здоров'я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та керівниками закладів загальної середньої освіти громади проводиться кропітка робота щодо організації харчування учнів, своєчасно приймаються відповідні управлінські рішення з питання організації безпечного та якісного харчування.</w:t>
      </w:r>
    </w:p>
    <w:p w:rsidR="00832DC6" w:rsidRDefault="00832DC6" w:rsidP="00832D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 усіх закладах загальної середньої освіти громади харчування дітей організовано на достатньому рівні.  В підпорядкуванні відділу освіти перебуває  4 заклади загальної середньої освіти  та 5 закладів дошкільної освіти. Усі мають власні приміщення </w:t>
      </w:r>
      <w:proofErr w:type="spellStart"/>
      <w:r>
        <w:rPr>
          <w:sz w:val="28"/>
          <w:szCs w:val="28"/>
          <w:lang w:val="uk-UA"/>
        </w:rPr>
        <w:t>їдалень</w:t>
      </w:r>
      <w:proofErr w:type="spellEnd"/>
      <w:r>
        <w:rPr>
          <w:sz w:val="28"/>
          <w:szCs w:val="28"/>
          <w:lang w:val="uk-UA"/>
        </w:rPr>
        <w:t>. Гарячим харчуванням охоплено 530 учнів (58%) з них – 413 учнів 1-4 класів (100%), 93 учні 5-9 класів (24%), 24 учні 10-11 класів (22%).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  <w:lang w:val="uk-UA"/>
        </w:rPr>
      </w:pPr>
      <w:r w:rsidRPr="00832DC6">
        <w:rPr>
          <w:sz w:val="28"/>
          <w:szCs w:val="28"/>
          <w:lang w:val="uk-UA"/>
        </w:rPr>
        <w:t xml:space="preserve">Відділ освіти, охорони здоров'я і соціально-культурної сфери </w:t>
      </w:r>
      <w:proofErr w:type="spellStart"/>
      <w:r w:rsidRPr="00832DC6">
        <w:rPr>
          <w:sz w:val="28"/>
          <w:szCs w:val="28"/>
          <w:lang w:val="uk-UA"/>
        </w:rPr>
        <w:t>Новборівської</w:t>
      </w:r>
      <w:proofErr w:type="spellEnd"/>
      <w:r w:rsidRPr="00832DC6">
        <w:rPr>
          <w:sz w:val="28"/>
          <w:szCs w:val="28"/>
          <w:lang w:val="uk-UA"/>
        </w:rPr>
        <w:t xml:space="preserve"> селищної ради здійснює систематичний контроль за харчовими нормами і якістю продукції, яка надходить на харчоблоки, проте </w:t>
      </w:r>
      <w:r w:rsidRPr="00832DC6">
        <w:rPr>
          <w:sz w:val="28"/>
          <w:szCs w:val="28"/>
          <w:lang w:val="uk-UA"/>
        </w:rPr>
        <w:lastRenderedPageBreak/>
        <w:t>спостерігається  негативна тенденція в організації системи харчування в закладах загальної середньої освіти громади.</w:t>
      </w:r>
    </w:p>
    <w:p w:rsidR="00832DC6" w:rsidRP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  <w:lang w:val="uk-UA"/>
        </w:rPr>
      </w:pPr>
      <w:r w:rsidRPr="00832DC6">
        <w:rPr>
          <w:sz w:val="28"/>
          <w:szCs w:val="28"/>
          <w:lang w:val="uk-UA"/>
        </w:rPr>
        <w:t xml:space="preserve">         У харчовому раціоні дітей в недостатній кількості використовуються м’ясні та кисломолочні продукти, соки, фрукти, що є порушенням норм харчування. </w:t>
      </w:r>
    </w:p>
    <w:p w:rsidR="00832DC6" w:rsidRP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  <w:lang w:val="uk-UA"/>
        </w:rPr>
      </w:pPr>
      <w:r w:rsidRPr="00832DC6">
        <w:rPr>
          <w:sz w:val="28"/>
          <w:szCs w:val="28"/>
          <w:lang w:val="uk-UA"/>
        </w:rPr>
        <w:t xml:space="preserve">Слід зазначити, що якість організації харчування та обслуговування дітей залежить від загальної організації роботи </w:t>
      </w:r>
      <w:proofErr w:type="spellStart"/>
      <w:r w:rsidRPr="00832DC6">
        <w:rPr>
          <w:sz w:val="28"/>
          <w:szCs w:val="28"/>
          <w:lang w:val="uk-UA"/>
        </w:rPr>
        <w:t>їдалень</w:t>
      </w:r>
      <w:proofErr w:type="spellEnd"/>
      <w:r w:rsidRPr="00832DC6">
        <w:rPr>
          <w:sz w:val="28"/>
          <w:szCs w:val="28"/>
          <w:lang w:val="uk-UA"/>
        </w:rPr>
        <w:t>, на що впливає багато факторів: стан матеріально-технічної бази, санітарний стан, використання нових форм обслуговування, тощо.</w:t>
      </w:r>
    </w:p>
    <w:p w:rsidR="00832DC6" w:rsidRP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  <w:lang w:val="uk-UA"/>
        </w:rPr>
      </w:pPr>
      <w:r w:rsidRPr="00832DC6">
        <w:rPr>
          <w:sz w:val="28"/>
          <w:szCs w:val="28"/>
          <w:lang w:val="uk-UA"/>
        </w:rPr>
        <w:t>Отже, разом із зростанням основних кількісних показників в організації якісного і раціонального харчування учнів закладів загальної середньої освіти громади, загальний рівень розвитку харчування недостатній з точки зору вимог ринкової економіки і потребує подальшого удосконалення.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Виходячи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викладеного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в закладах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на 2019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 для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повноцінного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якісного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школярів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 району.</w:t>
      </w:r>
    </w:p>
    <w:p w:rsidR="00832DC6" w:rsidRDefault="00832DC6" w:rsidP="00832DC6">
      <w:pPr>
        <w:pStyle w:val="a9"/>
        <w:ind w:left="0"/>
        <w:jc w:val="center"/>
        <w:rPr>
          <w:b/>
          <w:sz w:val="28"/>
          <w:szCs w:val="28"/>
          <w:lang w:val="uk-UA"/>
        </w:rPr>
      </w:pPr>
    </w:p>
    <w:p w:rsidR="00832DC6" w:rsidRDefault="00832DC6" w:rsidP="00832DC6">
      <w:pPr>
        <w:pStyle w:val="a9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Мета та завдання Програми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  <w:lang w:val="uk-UA"/>
        </w:rPr>
      </w:pPr>
      <w:r>
        <w:rPr>
          <w:rStyle w:val="ac"/>
          <w:rFonts w:eastAsia="Bookman Old Style"/>
          <w:b w:val="0"/>
          <w:sz w:val="28"/>
          <w:szCs w:val="28"/>
        </w:rPr>
        <w:t>Головною метою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proofErr w:type="gramStart"/>
      <w:r>
        <w:rPr>
          <w:sz w:val="28"/>
          <w:szCs w:val="28"/>
        </w:rPr>
        <w:t xml:space="preserve"> є:</w:t>
      </w:r>
      <w:proofErr w:type="gramEnd"/>
      <w:r>
        <w:rPr>
          <w:sz w:val="28"/>
          <w:szCs w:val="28"/>
        </w:rPr>
        <w:t xml:space="preserve"> 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раціональним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якісним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безпечним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-сироти,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);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1-4 </w:t>
      </w:r>
      <w:proofErr w:type="spellStart"/>
      <w:r>
        <w:rPr>
          <w:sz w:val="28"/>
          <w:szCs w:val="28"/>
        </w:rPr>
        <w:t>класі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, батьки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мобілізовані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зоні</w:t>
      </w:r>
      <w:proofErr w:type="spellEnd"/>
      <w:r>
        <w:rPr>
          <w:sz w:val="28"/>
          <w:szCs w:val="28"/>
        </w:rPr>
        <w:t xml:space="preserve"> АТО;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вимушених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оздоровчого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Основними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завданнями</w:t>
      </w:r>
      <w:proofErr w:type="spellEnd"/>
      <w:r>
        <w:rPr>
          <w:rStyle w:val="4"/>
          <w:sz w:val="28"/>
          <w:szCs w:val="28"/>
        </w:rPr>
        <w:t xml:space="preserve"> </w:t>
      </w:r>
      <w:proofErr w:type="spellStart"/>
      <w:r>
        <w:rPr>
          <w:rStyle w:val="4"/>
          <w:sz w:val="28"/>
          <w:szCs w:val="28"/>
        </w:rPr>
        <w:t>Програми</w:t>
      </w:r>
      <w:proofErr w:type="spellEnd"/>
      <w:proofErr w:type="gramStart"/>
      <w:r>
        <w:rPr>
          <w:rStyle w:val="4"/>
          <w:sz w:val="28"/>
          <w:szCs w:val="28"/>
        </w:rPr>
        <w:t xml:space="preserve"> є :</w:t>
      </w:r>
      <w:proofErr w:type="gramEnd"/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ind w:left="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умов для 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ind w:left="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гарячого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навчаються</w:t>
      </w:r>
      <w:proofErr w:type="spellEnd"/>
      <w:r>
        <w:rPr>
          <w:sz w:val="28"/>
          <w:szCs w:val="28"/>
        </w:rPr>
        <w:t xml:space="preserve"> в закладах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360"/>
        </w:tabs>
        <w:spacing w:before="0" w:line="240" w:lineRule="auto"/>
        <w:ind w:left="0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системою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оптимізації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охоплених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tabs>
          <w:tab w:val="left" w:pos="1061"/>
        </w:tabs>
        <w:spacing w:before="0" w:line="240" w:lineRule="auto"/>
        <w:ind w:firstLine="0"/>
        <w:jc w:val="both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tabs>
          <w:tab w:val="left" w:pos="1061"/>
        </w:tabs>
        <w:spacing w:before="0" w:line="24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Реалізація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Аналіз</w:t>
      </w:r>
      <w:proofErr w:type="spellEnd"/>
      <w:r>
        <w:rPr>
          <w:sz w:val="28"/>
          <w:szCs w:val="28"/>
        </w:rPr>
        <w:t xml:space="preserve"> стану та </w:t>
      </w:r>
      <w:proofErr w:type="spellStart"/>
      <w:r>
        <w:rPr>
          <w:sz w:val="28"/>
          <w:szCs w:val="28"/>
        </w:rPr>
        <w:t>тенденцій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 у закладах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 дозволив </w:t>
      </w:r>
      <w:proofErr w:type="spellStart"/>
      <w:r>
        <w:rPr>
          <w:sz w:val="28"/>
          <w:szCs w:val="28"/>
        </w:rPr>
        <w:t>визначити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напрями</w:t>
      </w:r>
      <w:proofErr w:type="spellEnd"/>
      <w:r>
        <w:rPr>
          <w:sz w:val="28"/>
          <w:szCs w:val="28"/>
        </w:rPr>
        <w:t xml:space="preserve"> та заходи,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першочергових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програмними</w:t>
      </w:r>
      <w:proofErr w:type="spellEnd"/>
      <w:r>
        <w:rPr>
          <w:sz w:val="28"/>
          <w:szCs w:val="28"/>
        </w:rPr>
        <w:t xml:space="preserve"> документами </w:t>
      </w:r>
      <w:proofErr w:type="spellStart"/>
      <w:r>
        <w:rPr>
          <w:sz w:val="28"/>
          <w:szCs w:val="28"/>
        </w:rPr>
        <w:t>загальнодержавного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дошкільного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шкільного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усуненню</w:t>
      </w:r>
      <w:proofErr w:type="spellEnd"/>
      <w:r>
        <w:rPr>
          <w:sz w:val="28"/>
          <w:szCs w:val="28"/>
        </w:rPr>
        <w:t xml:space="preserve"> проблем,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стоять на </w:t>
      </w:r>
      <w:proofErr w:type="spellStart"/>
      <w:r>
        <w:rPr>
          <w:sz w:val="28"/>
          <w:szCs w:val="28"/>
        </w:rPr>
        <w:t>заваді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подальшого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на 2019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іоритетними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напрямками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школярів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в 2019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вважати</w:t>
      </w:r>
      <w:proofErr w:type="spellEnd"/>
      <w:r>
        <w:rPr>
          <w:sz w:val="28"/>
          <w:szCs w:val="28"/>
        </w:rPr>
        <w:t>: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3.1. </w:t>
      </w:r>
      <w:bookmarkStart w:id="1" w:name="bookmark4"/>
      <w:proofErr w:type="spellStart"/>
      <w:proofErr w:type="gram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:</w:t>
      </w:r>
      <w:bookmarkEnd w:id="1"/>
      <w:proofErr w:type="gramEnd"/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якісним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безкоштовним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незахищених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, батьки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мобілізовані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зоні</w:t>
      </w:r>
      <w:proofErr w:type="spellEnd"/>
      <w:r>
        <w:rPr>
          <w:sz w:val="28"/>
          <w:szCs w:val="28"/>
        </w:rPr>
        <w:t xml:space="preserve"> АТО;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вимушених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1-4-х </w:t>
      </w:r>
      <w:proofErr w:type="spellStart"/>
      <w:r>
        <w:rPr>
          <w:sz w:val="28"/>
          <w:szCs w:val="28"/>
        </w:rPr>
        <w:t>класів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охоплені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гарячим</w:t>
      </w:r>
      <w:proofErr w:type="spellEnd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0"/>
        </w:tabs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всеобучу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раціонального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3"/>
        <w:keepNext/>
        <w:keepLines/>
        <w:shd w:val="clear" w:color="auto" w:fill="auto"/>
        <w:spacing w:before="0" w:line="240" w:lineRule="auto"/>
        <w:ind w:firstLine="360"/>
        <w:jc w:val="both"/>
        <w:rPr>
          <w:sz w:val="28"/>
          <w:szCs w:val="28"/>
        </w:rPr>
      </w:pPr>
      <w:bookmarkStart w:id="2" w:name="bookmark6"/>
      <w:r>
        <w:rPr>
          <w:sz w:val="28"/>
          <w:szCs w:val="28"/>
        </w:rPr>
        <w:t xml:space="preserve">3.2. </w:t>
      </w:r>
      <w:proofErr w:type="spellStart"/>
      <w:r>
        <w:rPr>
          <w:sz w:val="28"/>
          <w:szCs w:val="28"/>
        </w:rPr>
        <w:t>Удосконалення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системою </w:t>
      </w:r>
      <w:proofErr w:type="spellStart"/>
      <w:r>
        <w:rPr>
          <w:sz w:val="28"/>
          <w:szCs w:val="28"/>
        </w:rPr>
        <w:t>забезпечення</w:t>
      </w:r>
      <w:bookmarkStart w:id="3" w:name="bookmark7"/>
      <w:bookmarkEnd w:id="2"/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>:</w:t>
      </w:r>
      <w:bookmarkEnd w:id="3"/>
    </w:p>
    <w:p w:rsidR="00832DC6" w:rsidRDefault="00832DC6" w:rsidP="00832DC6">
      <w:pPr>
        <w:pStyle w:val="23"/>
        <w:keepNext/>
        <w:keepLines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фізіологічних</w:t>
      </w:r>
      <w:proofErr w:type="spellEnd"/>
      <w:r>
        <w:rPr>
          <w:sz w:val="28"/>
          <w:szCs w:val="28"/>
        </w:rPr>
        <w:t xml:space="preserve"> норм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калькуляційні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технологічні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);</w:t>
      </w:r>
    </w:p>
    <w:p w:rsidR="00832DC6" w:rsidRDefault="00832DC6" w:rsidP="00832DC6">
      <w:pPr>
        <w:pStyle w:val="23"/>
        <w:keepNext/>
        <w:keepLines/>
        <w:shd w:val="clear" w:color="auto" w:fill="auto"/>
        <w:spacing w:before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поставкою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прийманням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сировини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їжі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0"/>
        </w:tabs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оптимізація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вартості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0"/>
          <w:tab w:val="left" w:pos="180"/>
        </w:tabs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приготування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їжі</w:t>
      </w:r>
      <w:proofErr w:type="spellEnd"/>
      <w:r>
        <w:rPr>
          <w:sz w:val="28"/>
          <w:szCs w:val="28"/>
        </w:rPr>
        <w:t xml:space="preserve">, форм і </w:t>
      </w:r>
      <w:proofErr w:type="spellStart"/>
      <w:r>
        <w:rPr>
          <w:sz w:val="28"/>
          <w:szCs w:val="28"/>
        </w:rPr>
        <w:t>методі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832DC6" w:rsidRDefault="00832DC6" w:rsidP="00832DC6">
      <w:pPr>
        <w:pStyle w:val="21"/>
        <w:shd w:val="clear" w:color="auto" w:fill="auto"/>
        <w:tabs>
          <w:tab w:val="left" w:pos="0"/>
          <w:tab w:val="left" w:pos="180"/>
        </w:tabs>
        <w:spacing w:before="0" w:line="240" w:lineRule="auto"/>
        <w:ind w:firstLine="0"/>
        <w:jc w:val="both"/>
        <w:rPr>
          <w:sz w:val="28"/>
          <w:szCs w:val="28"/>
        </w:rPr>
      </w:pPr>
    </w:p>
    <w:p w:rsidR="00832DC6" w:rsidRDefault="00832DC6" w:rsidP="00832DC6">
      <w:pPr>
        <w:keepNext/>
        <w:keepLines/>
        <w:numPr>
          <w:ilvl w:val="0"/>
          <w:numId w:val="17"/>
        </w:numPr>
        <w:ind w:left="0"/>
        <w:jc w:val="center"/>
        <w:rPr>
          <w:b/>
          <w:sz w:val="28"/>
          <w:szCs w:val="28"/>
          <w:lang w:val="uk-UA"/>
        </w:rPr>
      </w:pPr>
      <w:bookmarkStart w:id="4" w:name="bookmark10"/>
      <w:r>
        <w:rPr>
          <w:b/>
          <w:sz w:val="28"/>
          <w:szCs w:val="28"/>
          <w:lang w:val="uk-UA"/>
        </w:rPr>
        <w:t>Фінансове забезпечення виконання заходів</w:t>
      </w:r>
      <w:bookmarkStart w:id="5" w:name="bookmark11"/>
      <w:bookmarkEnd w:id="4"/>
      <w:r>
        <w:rPr>
          <w:b/>
          <w:sz w:val="28"/>
          <w:szCs w:val="28"/>
          <w:lang w:val="uk-UA"/>
        </w:rPr>
        <w:t xml:space="preserve"> Програми</w:t>
      </w:r>
      <w:bookmarkEnd w:id="5"/>
    </w:p>
    <w:p w:rsidR="00832DC6" w:rsidRDefault="00832DC6" w:rsidP="00832DC6">
      <w:pPr>
        <w:pStyle w:val="21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>:</w:t>
      </w:r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180"/>
        </w:tabs>
        <w:spacing w:before="0" w:line="240" w:lineRule="auto"/>
        <w:ind w:left="0" w:firstLine="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бюджету;</w:t>
      </w:r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180"/>
        </w:tabs>
        <w:spacing w:before="0" w:line="240" w:lineRule="auto"/>
        <w:ind w:left="0" w:firstLine="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дотації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numPr>
          <w:ilvl w:val="0"/>
          <w:numId w:val="16"/>
        </w:numPr>
        <w:shd w:val="clear" w:color="auto" w:fill="auto"/>
        <w:tabs>
          <w:tab w:val="left" w:pos="180"/>
        </w:tabs>
        <w:spacing w:before="0" w:line="240" w:lineRule="auto"/>
        <w:ind w:left="0" w:firstLine="38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. </w:t>
      </w:r>
    </w:p>
    <w:p w:rsidR="00832DC6" w:rsidRDefault="00832DC6" w:rsidP="00832DC6">
      <w:pPr>
        <w:pStyle w:val="21"/>
        <w:shd w:val="clear" w:color="auto" w:fill="auto"/>
        <w:tabs>
          <w:tab w:val="left" w:pos="385"/>
        </w:tabs>
        <w:spacing w:before="0" w:line="24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Батьківська</w:t>
      </w:r>
      <w:proofErr w:type="spellEnd"/>
      <w:r>
        <w:rPr>
          <w:sz w:val="28"/>
          <w:szCs w:val="28"/>
        </w:rPr>
        <w:t xml:space="preserve"> плата за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вноситися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відкритий</w:t>
      </w:r>
      <w:proofErr w:type="spellEnd"/>
      <w:r>
        <w:rPr>
          <w:sz w:val="28"/>
          <w:szCs w:val="28"/>
        </w:rPr>
        <w:t xml:space="preserve"> в органах </w:t>
      </w:r>
      <w:proofErr w:type="spellStart"/>
      <w:r>
        <w:rPr>
          <w:sz w:val="28"/>
          <w:szCs w:val="28"/>
        </w:rPr>
        <w:t>держказначейства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Спонсорська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вноситись</w:t>
      </w:r>
      <w:proofErr w:type="spellEnd"/>
      <w:r>
        <w:rPr>
          <w:sz w:val="28"/>
          <w:szCs w:val="28"/>
        </w:rPr>
        <w:t xml:space="preserve"> як в </w:t>
      </w:r>
      <w:proofErr w:type="spellStart"/>
      <w:r>
        <w:rPr>
          <w:sz w:val="28"/>
          <w:szCs w:val="28"/>
        </w:rPr>
        <w:t>грошовій</w:t>
      </w:r>
      <w:proofErr w:type="spellEnd"/>
      <w:r>
        <w:rPr>
          <w:sz w:val="28"/>
          <w:szCs w:val="28"/>
        </w:rPr>
        <w:t xml:space="preserve"> так і в </w:t>
      </w:r>
      <w:proofErr w:type="spellStart"/>
      <w:r>
        <w:rPr>
          <w:sz w:val="28"/>
          <w:szCs w:val="28"/>
        </w:rPr>
        <w:t>натуральній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формі</w:t>
      </w:r>
      <w:proofErr w:type="spellEnd"/>
      <w:r>
        <w:rPr>
          <w:sz w:val="28"/>
          <w:szCs w:val="28"/>
        </w:rPr>
        <w:t xml:space="preserve"> як самими батьками так і спонсорами, меценатами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tabs>
          <w:tab w:val="left" w:pos="385"/>
        </w:tabs>
        <w:spacing w:before="0" w:line="240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дотації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освіту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32DC6" w:rsidRDefault="00832DC6" w:rsidP="00832DC6">
      <w:pPr>
        <w:pStyle w:val="21"/>
        <w:shd w:val="clear" w:color="auto" w:fill="auto"/>
        <w:tabs>
          <w:tab w:val="left" w:pos="370"/>
        </w:tabs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дітей-сиріт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позбавлених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батьківського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малозабезпечених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370"/>
        </w:tabs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, батьки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мобілізовані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зоні</w:t>
      </w:r>
      <w:proofErr w:type="spellEnd"/>
      <w:r>
        <w:rPr>
          <w:sz w:val="28"/>
          <w:szCs w:val="28"/>
        </w:rPr>
        <w:t xml:space="preserve"> АТО;</w:t>
      </w:r>
    </w:p>
    <w:p w:rsidR="00832DC6" w:rsidRDefault="00832DC6" w:rsidP="00832DC6">
      <w:pPr>
        <w:pStyle w:val="21"/>
        <w:shd w:val="clear" w:color="auto" w:fill="auto"/>
        <w:tabs>
          <w:tab w:val="left" w:pos="370"/>
        </w:tabs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вимушених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370"/>
        </w:tabs>
        <w:spacing w:before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1-4 </w:t>
      </w:r>
      <w:proofErr w:type="spellStart"/>
      <w:r>
        <w:rPr>
          <w:sz w:val="28"/>
          <w:szCs w:val="28"/>
        </w:rPr>
        <w:t>класів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jc w:val="center"/>
        <w:rPr>
          <w:b/>
          <w:lang w:val="uk-UA"/>
        </w:rPr>
      </w:pPr>
      <w:r>
        <w:rPr>
          <w:b/>
          <w:lang w:val="uk-UA"/>
        </w:rPr>
        <w:t>Показники фінансування Програми (тис. грн.)</w:t>
      </w:r>
    </w:p>
    <w:tbl>
      <w:tblPr>
        <w:tblW w:w="10104" w:type="dxa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976"/>
        <w:gridCol w:w="1418"/>
        <w:gridCol w:w="1559"/>
        <w:gridCol w:w="2444"/>
        <w:gridCol w:w="1141"/>
      </w:tblGrid>
      <w:tr w:rsidR="00832DC6" w:rsidTr="00832DC6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№</w:t>
            </w:r>
          </w:p>
          <w:p w:rsidR="00832DC6" w:rsidRDefault="00832DC6">
            <w:pPr>
              <w:spacing w:after="200"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Розділ програми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Вартість на один день (грн.)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Потреба на 2019 рік  (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.)</w:t>
            </w:r>
          </w:p>
        </w:tc>
        <w:tc>
          <w:tcPr>
            <w:tcW w:w="35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У тому числі</w:t>
            </w:r>
          </w:p>
        </w:tc>
      </w:tr>
      <w:tr w:rsidR="00832DC6" w:rsidTr="00832DC6">
        <w:trPr>
          <w:trHeight w:val="12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rPr>
                <w:b/>
                <w:lang w:val="uk-UA"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rPr>
                <w:b/>
                <w:lang w:val="uk-UA"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rPr>
                <w:b/>
                <w:lang w:val="uk-UA"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DC6" w:rsidRDefault="00832DC6">
            <w:pPr>
              <w:rPr>
                <w:b/>
                <w:lang w:val="uk-UA"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селищний  бюджет</w:t>
            </w:r>
          </w:p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(</w:t>
            </w:r>
            <w:proofErr w:type="spellStart"/>
            <w:r>
              <w:rPr>
                <w:b/>
                <w:lang w:val="uk-UA"/>
              </w:rPr>
              <w:t>тис.грн</w:t>
            </w:r>
            <w:proofErr w:type="spellEnd"/>
            <w:r>
              <w:rPr>
                <w:b/>
                <w:lang w:val="uk-UA"/>
              </w:rPr>
              <w:t>.)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кошти  дотації</w:t>
            </w:r>
          </w:p>
          <w:p w:rsidR="00832DC6" w:rsidRDefault="00832DC6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/>
              </w:rPr>
              <w:t>на освіту</w:t>
            </w:r>
          </w:p>
        </w:tc>
      </w:tr>
      <w:tr w:rsidR="00832DC6" w:rsidTr="00832DC6">
        <w:trPr>
          <w:trHeight w:val="1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Організація повноцінного, безпечного та якісного харчування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C6" w:rsidRDefault="00832DC6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832DC6" w:rsidRDefault="00832DC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12,0-15,0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C6" w:rsidRDefault="00832DC6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32DC6" w:rsidRDefault="00832DC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198,0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C6" w:rsidRDefault="00832DC6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  <w:p w:rsidR="00832DC6" w:rsidRDefault="00832DC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           198,0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C6" w:rsidRDefault="00832DC6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  <w:tr w:rsidR="00832DC6" w:rsidTr="00832DC6">
        <w:trPr>
          <w:trHeight w:val="1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Організація харчування під час оздоровчого періоду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117,6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DC6" w:rsidRDefault="00832DC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117,6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C6" w:rsidRDefault="00832DC6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832DC6" w:rsidRDefault="00832DC6" w:rsidP="00832DC6">
      <w:pPr>
        <w:pStyle w:val="21"/>
        <w:shd w:val="clear" w:color="auto" w:fill="auto"/>
        <w:tabs>
          <w:tab w:val="left" w:pos="375"/>
        </w:tabs>
        <w:spacing w:before="0" w:line="240" w:lineRule="auto"/>
        <w:ind w:right="40" w:firstLine="0"/>
        <w:jc w:val="both"/>
        <w:rPr>
          <w:rFonts w:ascii="Calibri" w:eastAsia="Calibri" w:hAnsi="Calibri"/>
          <w:sz w:val="24"/>
          <w:szCs w:val="24"/>
          <w:lang w:val="uk-UA" w:eastAsia="en-US"/>
        </w:rPr>
      </w:pPr>
    </w:p>
    <w:p w:rsidR="00832DC6" w:rsidRDefault="00832DC6" w:rsidP="00832DC6">
      <w:pPr>
        <w:pStyle w:val="21"/>
        <w:shd w:val="clear" w:color="auto" w:fill="auto"/>
        <w:tabs>
          <w:tab w:val="left" w:pos="375"/>
        </w:tabs>
        <w:spacing w:before="0" w:line="240" w:lineRule="auto"/>
        <w:ind w:right="40" w:firstLine="0"/>
        <w:jc w:val="both"/>
        <w:rPr>
          <w:sz w:val="24"/>
          <w:szCs w:val="24"/>
          <w:lang w:eastAsia="uk-UA"/>
        </w:rPr>
      </w:pPr>
    </w:p>
    <w:p w:rsidR="00832DC6" w:rsidRDefault="00832DC6" w:rsidP="00832DC6">
      <w:pPr>
        <w:keepNext/>
        <w:keepLines/>
        <w:numPr>
          <w:ilvl w:val="0"/>
          <w:numId w:val="17"/>
        </w:numPr>
        <w:ind w:left="0" w:right="140" w:firstLine="0"/>
        <w:jc w:val="center"/>
        <w:rPr>
          <w:rStyle w:val="11"/>
          <w:rFonts w:ascii="Times New Roman" w:hAnsi="Times New Roman"/>
          <w:b/>
          <w:sz w:val="28"/>
          <w:szCs w:val="28"/>
          <w:lang w:val="uk-UA"/>
        </w:rPr>
      </w:pPr>
      <w:bookmarkStart w:id="6" w:name="bookmark12"/>
      <w:r>
        <w:rPr>
          <w:rStyle w:val="11"/>
          <w:b/>
          <w:sz w:val="28"/>
          <w:szCs w:val="28"/>
          <w:lang w:val="uk-UA"/>
        </w:rPr>
        <w:t>Реалізація основних заходів</w:t>
      </w:r>
    </w:p>
    <w:p w:rsidR="00832DC6" w:rsidRDefault="00832DC6" w:rsidP="00832DC6">
      <w:pPr>
        <w:keepNext/>
        <w:keepLines/>
        <w:ind w:right="140"/>
        <w:jc w:val="center"/>
        <w:rPr>
          <w:rFonts w:eastAsia="Calibri"/>
        </w:rPr>
      </w:pPr>
      <w:r>
        <w:rPr>
          <w:rStyle w:val="11"/>
          <w:b/>
          <w:sz w:val="28"/>
          <w:szCs w:val="28"/>
          <w:lang w:val="uk-UA"/>
        </w:rPr>
        <w:t>Програми та контроль за їх виконанням</w:t>
      </w:r>
      <w:bookmarkEnd w:id="6"/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40" w:firstLine="68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спільно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виконавчим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комітетом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40" w:firstLine="6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40" w:firstLine="68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Основні</w:t>
      </w:r>
      <w:proofErr w:type="spellEnd"/>
      <w:r>
        <w:rPr>
          <w:sz w:val="28"/>
          <w:szCs w:val="28"/>
        </w:rPr>
        <w:t xml:space="preserve"> напрямки та заходи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коригуватись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ситуації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громаді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40" w:firstLine="68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вносяться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потреби та </w:t>
      </w:r>
      <w:proofErr w:type="spellStart"/>
      <w:r>
        <w:rPr>
          <w:sz w:val="28"/>
          <w:szCs w:val="28"/>
        </w:rPr>
        <w:t>можуть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передбачати</w:t>
      </w:r>
      <w:proofErr w:type="spellEnd"/>
      <w:r>
        <w:rPr>
          <w:sz w:val="28"/>
          <w:szCs w:val="28"/>
        </w:rPr>
        <w:t xml:space="preserve">: 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включення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затвердженої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851"/>
        </w:tabs>
        <w:spacing w:before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уточнення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обсягів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строк</w:t>
      </w:r>
      <w:proofErr w:type="gramEnd"/>
      <w:r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shd w:val="clear" w:color="auto" w:fill="auto"/>
        <w:tabs>
          <w:tab w:val="left" w:pos="851"/>
        </w:tabs>
        <w:spacing w:before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виключення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недоцільним</w:t>
      </w:r>
      <w:proofErr w:type="spellEnd"/>
      <w:r>
        <w:rPr>
          <w:sz w:val="28"/>
          <w:szCs w:val="28"/>
        </w:rPr>
        <w:t xml:space="preserve"> подальше </w:t>
      </w:r>
      <w:proofErr w:type="spellStart"/>
      <w:r>
        <w:rPr>
          <w:sz w:val="28"/>
          <w:szCs w:val="28"/>
        </w:rPr>
        <w:t>продовження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</w:t>
      </w:r>
      <w:proofErr w:type="gramStart"/>
      <w:r>
        <w:rPr>
          <w:sz w:val="28"/>
          <w:szCs w:val="28"/>
        </w:rPr>
        <w:t>т</w:t>
      </w:r>
      <w:proofErr w:type="spellEnd"/>
      <w:proofErr w:type="gramEnd"/>
      <w:r>
        <w:rPr>
          <w:sz w:val="28"/>
          <w:szCs w:val="28"/>
        </w:rPr>
        <w:t xml:space="preserve">. </w:t>
      </w:r>
    </w:p>
    <w:p w:rsidR="00832DC6" w:rsidRDefault="00832DC6" w:rsidP="00832DC6">
      <w:pPr>
        <w:pStyle w:val="21"/>
        <w:shd w:val="clear" w:color="auto" w:fill="auto"/>
        <w:tabs>
          <w:tab w:val="left" w:pos="0"/>
        </w:tabs>
        <w:spacing w:before="0" w:line="240" w:lineRule="auto"/>
        <w:ind w:right="4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приймається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селищною</w:t>
      </w:r>
      <w:proofErr w:type="spellEnd"/>
      <w:r>
        <w:rPr>
          <w:sz w:val="28"/>
          <w:szCs w:val="28"/>
        </w:rPr>
        <w:t xml:space="preserve"> радою за </w:t>
      </w:r>
      <w:proofErr w:type="spellStart"/>
      <w:r>
        <w:rPr>
          <w:sz w:val="28"/>
          <w:szCs w:val="28"/>
        </w:rPr>
        <w:t>поданням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tabs>
          <w:tab w:val="left" w:pos="0"/>
        </w:tabs>
        <w:spacing w:before="0" w:line="240" w:lineRule="auto"/>
        <w:ind w:right="40" w:firstLine="0"/>
        <w:jc w:val="both"/>
        <w:rPr>
          <w:sz w:val="28"/>
          <w:szCs w:val="28"/>
        </w:rPr>
      </w:pPr>
    </w:p>
    <w:p w:rsidR="00832DC6" w:rsidRDefault="00832DC6" w:rsidP="00832DC6">
      <w:pPr>
        <w:keepNext/>
        <w:keepLines/>
        <w:jc w:val="center"/>
        <w:rPr>
          <w:b/>
          <w:sz w:val="28"/>
          <w:szCs w:val="28"/>
          <w:lang w:val="uk-UA"/>
        </w:rPr>
      </w:pPr>
      <w:bookmarkStart w:id="7" w:name="bookmark13"/>
      <w:r>
        <w:rPr>
          <w:b/>
          <w:sz w:val="28"/>
          <w:szCs w:val="28"/>
          <w:lang w:val="uk-UA"/>
        </w:rPr>
        <w:t xml:space="preserve">6. </w:t>
      </w:r>
      <w:r>
        <w:rPr>
          <w:rStyle w:val="11"/>
          <w:b/>
          <w:sz w:val="28"/>
          <w:szCs w:val="28"/>
          <w:lang w:val="uk-UA"/>
        </w:rPr>
        <w:t>Очікувані результати виконання Програми</w:t>
      </w:r>
      <w:bookmarkEnd w:id="7"/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Завдяки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на 2019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прогнозується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сприятливих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вдосконалення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spacing w:before="0" w:line="240" w:lineRule="auto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результаті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комплексу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Програмою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очіку</w:t>
      </w:r>
      <w:proofErr w:type="gramEnd"/>
      <w:r>
        <w:rPr>
          <w:sz w:val="28"/>
          <w:szCs w:val="28"/>
        </w:rPr>
        <w:t>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досягнення</w:t>
      </w:r>
      <w:proofErr w:type="spellEnd"/>
      <w:r>
        <w:rPr>
          <w:sz w:val="28"/>
          <w:szCs w:val="28"/>
        </w:rPr>
        <w:t xml:space="preserve"> таких </w:t>
      </w:r>
      <w:proofErr w:type="spellStart"/>
      <w:r>
        <w:rPr>
          <w:sz w:val="28"/>
          <w:szCs w:val="28"/>
        </w:rPr>
        <w:t>основних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>: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ільгових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).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1-4 </w:t>
      </w:r>
      <w:proofErr w:type="spellStart"/>
      <w:r>
        <w:rPr>
          <w:sz w:val="28"/>
          <w:szCs w:val="28"/>
        </w:rPr>
        <w:t>класів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, батьки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мобілізовані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зоні</w:t>
      </w:r>
      <w:proofErr w:type="spellEnd"/>
      <w:r>
        <w:rPr>
          <w:sz w:val="28"/>
          <w:szCs w:val="28"/>
        </w:rPr>
        <w:t xml:space="preserve"> АТО.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безкоштовного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вимушених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переселенці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ind w:right="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вихованців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зниження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безпосередньо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залежить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>.</w:t>
      </w:r>
      <w:proofErr w:type="gramEnd"/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Збільшення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охоплених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гарячим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харчуванням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школярів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громади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навичок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правильного</w:t>
      </w:r>
      <w:proofErr w:type="gramEnd"/>
      <w:r>
        <w:rPr>
          <w:sz w:val="28"/>
          <w:szCs w:val="28"/>
        </w:rPr>
        <w:t xml:space="preserve"> та здорового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ind w:right="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нормативно-</w:t>
      </w:r>
      <w:proofErr w:type="spellStart"/>
      <w:r>
        <w:rPr>
          <w:sz w:val="28"/>
          <w:szCs w:val="28"/>
        </w:rPr>
        <w:t>правових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загальної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середньої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. 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ind w:right="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</w:t>
      </w:r>
      <w:proofErr w:type="gramStart"/>
      <w:r>
        <w:rPr>
          <w:sz w:val="28"/>
          <w:szCs w:val="28"/>
        </w:rPr>
        <w:t>тарно-г</w:t>
      </w:r>
      <w:proofErr w:type="gramEnd"/>
      <w:r>
        <w:rPr>
          <w:sz w:val="28"/>
          <w:szCs w:val="28"/>
        </w:rPr>
        <w:t>ігієнічних</w:t>
      </w:r>
      <w:proofErr w:type="spellEnd"/>
      <w:r>
        <w:rPr>
          <w:sz w:val="28"/>
          <w:szCs w:val="28"/>
        </w:rPr>
        <w:t xml:space="preserve"> умов з метою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спалаху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гострих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кишкових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інфекцій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харчових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отруєнь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numPr>
          <w:ilvl w:val="1"/>
          <w:numId w:val="18"/>
        </w:numPr>
        <w:shd w:val="clear" w:color="auto" w:fill="auto"/>
        <w:tabs>
          <w:tab w:val="left" w:pos="540"/>
        </w:tabs>
        <w:spacing w:before="0" w:line="240" w:lineRule="auto"/>
        <w:ind w:right="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раціонально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ефективно</w:t>
      </w:r>
      <w:proofErr w:type="spellEnd"/>
      <w:r>
        <w:rPr>
          <w:sz w:val="28"/>
          <w:szCs w:val="28"/>
        </w:rPr>
        <w:t>.</w:t>
      </w:r>
    </w:p>
    <w:p w:rsidR="00832DC6" w:rsidRDefault="00832DC6" w:rsidP="00832DC6">
      <w:pPr>
        <w:pStyle w:val="21"/>
        <w:shd w:val="clear" w:color="auto" w:fill="auto"/>
        <w:tabs>
          <w:tab w:val="left" w:pos="726"/>
        </w:tabs>
        <w:spacing w:before="0" w:line="240" w:lineRule="auto"/>
        <w:ind w:right="20" w:firstLine="0"/>
        <w:jc w:val="both"/>
        <w:rPr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tabs>
          <w:tab w:val="left" w:pos="726"/>
        </w:tabs>
        <w:spacing w:before="0" w:line="240" w:lineRule="auto"/>
        <w:ind w:right="20" w:firstLine="0"/>
        <w:jc w:val="left"/>
        <w:rPr>
          <w:b/>
          <w:sz w:val="28"/>
          <w:szCs w:val="28"/>
        </w:rPr>
      </w:pPr>
    </w:p>
    <w:p w:rsidR="00832DC6" w:rsidRDefault="00832DC6" w:rsidP="00832DC6">
      <w:pPr>
        <w:pStyle w:val="21"/>
        <w:shd w:val="clear" w:color="auto" w:fill="auto"/>
        <w:tabs>
          <w:tab w:val="left" w:pos="726"/>
        </w:tabs>
        <w:spacing w:before="0" w:line="240" w:lineRule="auto"/>
        <w:ind w:right="20" w:firstLine="0"/>
        <w:jc w:val="left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Секретар</w:t>
      </w:r>
      <w:proofErr w:type="spellEnd"/>
      <w:r>
        <w:rPr>
          <w:b/>
          <w:i/>
          <w:sz w:val="28"/>
          <w:szCs w:val="28"/>
        </w:rPr>
        <w:t xml:space="preserve"> ради                                                        Г.С. Симон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0E3C01"/>
    <w:multiLevelType w:val="multilevel"/>
    <w:tmpl w:val="6ED2D06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2F2631A"/>
    <w:multiLevelType w:val="hybridMultilevel"/>
    <w:tmpl w:val="9C088668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D8A3358"/>
    <w:multiLevelType w:val="hybridMultilevel"/>
    <w:tmpl w:val="46582380"/>
    <w:lvl w:ilvl="0" w:tplc="D8F27C9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7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6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5D23"/>
    <w:rsid w:val="00197F08"/>
    <w:rsid w:val="001B38ED"/>
    <w:rsid w:val="001C1FC8"/>
    <w:rsid w:val="001C3224"/>
    <w:rsid w:val="001E4534"/>
    <w:rsid w:val="001F35DC"/>
    <w:rsid w:val="00233009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060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32DC6"/>
    <w:rsid w:val="0085013F"/>
    <w:rsid w:val="00855F73"/>
    <w:rsid w:val="00856765"/>
    <w:rsid w:val="0087448F"/>
    <w:rsid w:val="00882136"/>
    <w:rsid w:val="008853DE"/>
    <w:rsid w:val="008D5D8A"/>
    <w:rsid w:val="008D7314"/>
    <w:rsid w:val="008E6B5D"/>
    <w:rsid w:val="008F3C1B"/>
    <w:rsid w:val="00907717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4411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62045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245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E2E03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character" w:customStyle="1" w:styleId="2">
    <w:name w:val="Основной текст (2)_"/>
    <w:link w:val="20"/>
    <w:locked/>
    <w:rsid w:val="00832DC6"/>
    <w:rPr>
      <w:rFonts w:ascii="Bookman Old Style" w:eastAsia="Bookman Old Style" w:hAnsi="Bookman Old Style" w:cs="Bookman Old Style"/>
      <w:sz w:val="47"/>
      <w:szCs w:val="4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2DC6"/>
    <w:pPr>
      <w:shd w:val="clear" w:color="auto" w:fill="FFFFFF"/>
      <w:spacing w:line="562" w:lineRule="exact"/>
      <w:jc w:val="center"/>
    </w:pPr>
    <w:rPr>
      <w:rFonts w:ascii="Bookman Old Style" w:eastAsia="Bookman Old Style" w:hAnsi="Bookman Old Style" w:cs="Bookman Old Style"/>
      <w:sz w:val="47"/>
      <w:szCs w:val="47"/>
    </w:rPr>
  </w:style>
  <w:style w:type="character" w:customStyle="1" w:styleId="ab">
    <w:name w:val="Основной текст_"/>
    <w:link w:val="21"/>
    <w:locked/>
    <w:rsid w:val="00832DC6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832DC6"/>
    <w:pPr>
      <w:shd w:val="clear" w:color="auto" w:fill="FFFFFF"/>
      <w:spacing w:before="9360" w:line="0" w:lineRule="atLeast"/>
      <w:ind w:hanging="720"/>
      <w:jc w:val="center"/>
    </w:pPr>
    <w:rPr>
      <w:sz w:val="27"/>
      <w:szCs w:val="27"/>
    </w:rPr>
  </w:style>
  <w:style w:type="character" w:customStyle="1" w:styleId="22">
    <w:name w:val="Заголовок №2_"/>
    <w:link w:val="23"/>
    <w:locked/>
    <w:rsid w:val="00832DC6"/>
    <w:rPr>
      <w:sz w:val="27"/>
      <w:szCs w:val="27"/>
      <w:shd w:val="clear" w:color="auto" w:fill="FFFFFF"/>
    </w:rPr>
  </w:style>
  <w:style w:type="paragraph" w:customStyle="1" w:styleId="23">
    <w:name w:val="Заголовок №2"/>
    <w:basedOn w:val="a"/>
    <w:link w:val="22"/>
    <w:rsid w:val="00832DC6"/>
    <w:pPr>
      <w:shd w:val="clear" w:color="auto" w:fill="FFFFFF"/>
      <w:spacing w:before="420" w:line="322" w:lineRule="exact"/>
      <w:jc w:val="right"/>
      <w:outlineLvl w:val="1"/>
    </w:pPr>
    <w:rPr>
      <w:sz w:val="27"/>
      <w:szCs w:val="27"/>
    </w:rPr>
  </w:style>
  <w:style w:type="character" w:customStyle="1" w:styleId="ac">
    <w:name w:val="Основной текст + Полужирный"/>
    <w:rsid w:val="00832DC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4">
    <w:name w:val="Основной текст (4) + Не полужирный"/>
    <w:rsid w:val="00832DC6"/>
    <w:rPr>
      <w:rFonts w:ascii="Times New Roman" w:eastAsia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11">
    <w:name w:val="Заголовок №1"/>
    <w:rsid w:val="00832DC6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pacing w:val="0"/>
      <w:sz w:val="31"/>
      <w:szCs w:val="3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D8164-2F28-49F2-99AC-07A65D19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8991</Words>
  <Characters>5125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2019-01-17T14:31:00Z</cp:lastPrinted>
  <dcterms:created xsi:type="dcterms:W3CDTF">2015-12-28T09:07:00Z</dcterms:created>
  <dcterms:modified xsi:type="dcterms:W3CDTF">2019-01-17T14:32:00Z</dcterms:modified>
</cp:coreProperties>
</file>