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9E" w:rsidRPr="000062D3" w:rsidRDefault="000918C6" w:rsidP="000062D3">
      <w:pPr>
        <w:spacing w:after="28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</w:pPr>
      <w:r w:rsidRPr="000062D3">
        <w:rPr>
          <w:rFonts w:ascii="Times New Roman" w:eastAsia="Times New Roman" w:hAnsi="Times New Roman" w:cs="Times New Roman"/>
          <w:b/>
          <w:bCs/>
          <w:noProof/>
          <w:color w:val="28147D"/>
          <w:spacing w:val="-12"/>
          <w:kern w:val="36"/>
          <w:sz w:val="48"/>
          <w:szCs w:val="4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56DEEABD" wp14:editId="40E02A87">
            <wp:simplePos x="0" y="0"/>
            <wp:positionH relativeFrom="column">
              <wp:posOffset>-483870</wp:posOffset>
            </wp:positionH>
            <wp:positionV relativeFrom="paragraph">
              <wp:posOffset>560070</wp:posOffset>
            </wp:positionV>
            <wp:extent cx="7155180" cy="2263140"/>
            <wp:effectExtent l="0" t="0" r="7620" b="3810"/>
            <wp:wrapSquare wrapText="bothSides"/>
            <wp:docPr id="1" name="Рисунок 1" descr="C:\Users\USER\Desktop\privatization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privatization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18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Про </w:t>
      </w:r>
      <w:proofErr w:type="spellStart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приватизацію</w:t>
      </w:r>
      <w:proofErr w:type="spellEnd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/</w:t>
      </w:r>
      <w:proofErr w:type="spellStart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оренду</w:t>
      </w:r>
      <w:proofErr w:type="spellEnd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 </w:t>
      </w:r>
      <w:proofErr w:type="gramStart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державного</w:t>
      </w:r>
      <w:proofErr w:type="gramEnd"/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 xml:space="preserve"> май</w:t>
      </w:r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eastAsia="ru-RU"/>
        </w:rPr>
        <w:t>н</w:t>
      </w:r>
      <w:r w:rsidR="00556C33" w:rsidRPr="000062D3">
        <w:rPr>
          <w:rFonts w:ascii="Times New Roman" w:eastAsia="Times New Roman" w:hAnsi="Times New Roman" w:cs="Times New Roman"/>
          <w:b/>
          <w:bCs/>
          <w:color w:val="28147D"/>
          <w:spacing w:val="-12"/>
          <w:kern w:val="36"/>
          <w:sz w:val="48"/>
          <w:szCs w:val="48"/>
          <w:lang w:val="ru-RU" w:eastAsia="ru-RU"/>
        </w:rPr>
        <w:t>а</w:t>
      </w:r>
    </w:p>
    <w:p w:rsidR="000062D3" w:rsidRDefault="000062D3" w:rsidP="0024644C">
      <w:pPr>
        <w:shd w:val="clear" w:color="auto" w:fill="FFFFFF"/>
        <w:spacing w:after="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8"/>
          <w:sz w:val="38"/>
          <w:szCs w:val="38"/>
          <w:lang w:val="ru-RU" w:eastAsia="ru-RU"/>
        </w:rPr>
      </w:pPr>
    </w:p>
    <w:p w:rsidR="0033589E" w:rsidRPr="0024644C" w:rsidRDefault="0033589E" w:rsidP="0024644C">
      <w:pPr>
        <w:shd w:val="clear" w:color="auto" w:fill="FFFFFF"/>
        <w:spacing w:after="0" w:line="375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</w:pPr>
      <w:r w:rsidRPr="000062D3"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  <w:t xml:space="preserve">Мала </w:t>
      </w:r>
      <w:proofErr w:type="spellStart"/>
      <w:r w:rsidRPr="000062D3">
        <w:rPr>
          <w:rFonts w:ascii="Times New Roman" w:eastAsia="Times New Roman" w:hAnsi="Times New Roman" w:cs="Times New Roman"/>
          <w:b/>
          <w:bCs/>
          <w:color w:val="000000"/>
          <w:spacing w:val="8"/>
          <w:sz w:val="32"/>
          <w:szCs w:val="32"/>
          <w:lang w:val="ru-RU" w:eastAsia="ru-RU"/>
        </w:rPr>
        <w:t>приватизація</w:t>
      </w:r>
      <w:proofErr w:type="spellEnd"/>
    </w:p>
    <w:p w:rsidR="0033589E" w:rsidRPr="000062D3" w:rsidRDefault="0033589E" w:rsidP="00EB1E82">
      <w:pPr>
        <w:tabs>
          <w:tab w:val="left" w:pos="2052"/>
        </w:tabs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об’єктів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малої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приватизації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належать </w:t>
      </w:r>
      <w:proofErr w:type="spellStart"/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ідприємства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вартість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яких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перевищує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250 млн. грн.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продаються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через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електронну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торгову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систему. </w:t>
      </w:r>
    </w:p>
    <w:p w:rsidR="0033589E" w:rsidRDefault="0033589E" w:rsidP="00EB1E82">
      <w:pPr>
        <w:tabs>
          <w:tab w:val="left" w:pos="2052"/>
        </w:tabs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проводиться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публічно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домовленості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закритими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дверима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виключені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Адже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продаж через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Prozorro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EB1E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Продажі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дає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доступ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торгів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штучні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Таким чином, мала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відкрила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можливості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</w:t>
      </w:r>
      <w:proofErr w:type="gram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бізнесу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можна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вільно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прозоро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купити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щось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держави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gram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Вся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об’єктах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у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відкритому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доступі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цьому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сайті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ProZorro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Продажі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24644C" w:rsidRPr="000062D3" w:rsidRDefault="0024644C" w:rsidP="00EB1E82">
      <w:pPr>
        <w:tabs>
          <w:tab w:val="left" w:pos="2052"/>
        </w:tabs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0062D3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Щоб дізнатись більше - переходьте за посиланням:</w:t>
      </w:r>
    </w:p>
    <w:p w:rsidR="0024644C" w:rsidRPr="0024644C" w:rsidRDefault="0024644C" w:rsidP="00EB1E82">
      <w:pPr>
        <w:tabs>
          <w:tab w:val="left" w:pos="2052"/>
        </w:tabs>
        <w:jc w:val="both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 w:rsidRPr="000062D3">
        <w:rPr>
          <w:rFonts w:ascii="Times New Roman" w:hAnsi="Times New Roman" w:cs="Times New Roman"/>
          <w:sz w:val="24"/>
          <w:szCs w:val="24"/>
        </w:rPr>
        <w:t xml:space="preserve"> </w:t>
      </w:r>
      <w:r w:rsidRPr="000062D3"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https://privatization.gov.ua/product-category/mala-pryvatyzatsiya/</w:t>
      </w:r>
    </w:p>
    <w:p w:rsidR="000062D3" w:rsidRPr="000062D3" w:rsidRDefault="00434079" w:rsidP="000062D3">
      <w:pPr>
        <w:tabs>
          <w:tab w:val="left" w:pos="2052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Потенційн</w:t>
      </w:r>
      <w:r w:rsidR="00EB1E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ий о</w:t>
      </w:r>
      <w:r w:rsidR="000062D3"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б’єкт</w:t>
      </w:r>
      <w:r w:rsidRPr="0024644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державної власності у Донецькій області, аукціон по як</w:t>
      </w:r>
      <w:r w:rsidR="00EB1E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</w:t>
      </w:r>
      <w:r w:rsidR="00EB1E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заплановано </w:t>
      </w:r>
      <w:r w:rsidR="00EB1E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25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r w:rsidR="006B70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0</w:t>
      </w:r>
      <w:r w:rsidR="00D1183A" w:rsidRPr="00D118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.202</w:t>
      </w:r>
      <w:r w:rsidR="006B700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EB1E8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(сайт </w:t>
      </w:r>
      <w:r w:rsidR="004B29D9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p</w:t>
      </w:r>
      <w:r w:rsidRPr="000062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rivatization.gov.ua розділ мала приватизація)</w:t>
      </w:r>
    </w:p>
    <w:p w:rsidR="00EB1E82" w:rsidRPr="00EB1E82" w:rsidRDefault="00B84CDB" w:rsidP="000918C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1DF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195049" w:rsidRPr="00A21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E82"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єдиного майнового комплексу</w:t>
      </w:r>
      <w:r w:rsidR="000918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EB1E82"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державного підприємства «Азовський  </w:t>
      </w:r>
      <w:r w:rsidR="000918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="00EB1E82"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удноремонтний завод»</w:t>
      </w:r>
    </w:p>
    <w:p w:rsidR="00D1183A" w:rsidRPr="00EB1E82" w:rsidRDefault="00D1183A" w:rsidP="00195049">
      <w:pPr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F39" w:rsidRDefault="000062D3" w:rsidP="000918C6">
      <w:pPr>
        <w:ind w:right="28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Детальніше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посиланням</w:t>
      </w:r>
      <w:proofErr w:type="spellEnd"/>
      <w:r w:rsidRPr="000062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r w:rsidR="000918C6" w:rsidRPr="000918C6">
        <w:rPr>
          <w:rStyle w:val="a4"/>
          <w:rFonts w:ascii="Times New Roman" w:hAnsi="Times New Roman" w:cs="Times New Roman"/>
          <w:sz w:val="24"/>
          <w:szCs w:val="24"/>
        </w:rPr>
        <w:t>https://privatization.gov.ua/product/yedynyj-majnovyj-kompleks-derzhavnogo-pidpryyemstva-azovskyj-sudnoremontnyj-zavod/</w:t>
      </w:r>
    </w:p>
    <w:p w:rsidR="00DA5F39" w:rsidRDefault="00DA5F39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DA5F39" w:rsidRDefault="00DA5F39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noProof/>
          <w:kern w:val="28"/>
          <w:sz w:val="24"/>
          <w:szCs w:val="24"/>
          <w:lang w:val="ru-RU" w:eastAsia="ru-RU"/>
        </w:rPr>
        <w:lastRenderedPageBreak/>
        <w:drawing>
          <wp:inline distT="0" distB="0" distL="0" distR="0" wp14:anchorId="6FE5C229" wp14:editId="5C568C37">
            <wp:extent cx="2828290" cy="1616710"/>
            <wp:effectExtent l="19050" t="0" r="0" b="0"/>
            <wp:docPr id="2" name="Рисунок 2" descr="C:\Users\1\Desktop\Коряк\ind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оряк\index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90" cy="161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673F04" w:rsidRDefault="00B84CDB" w:rsidP="00704E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Інформація щодо об’єкта малої приватизації </w:t>
      </w:r>
    </w:p>
    <w:p w:rsidR="000918C6" w:rsidRPr="00EB1E82" w:rsidRDefault="000918C6" w:rsidP="000918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єдиного майнового комплексу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державного підприємства «Азовський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Pr="00EB1E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удноремонтний завод»</w:t>
      </w:r>
    </w:p>
    <w:p w:rsidR="000918C6" w:rsidRPr="00EB1E82" w:rsidRDefault="000918C6" w:rsidP="000918C6">
      <w:pPr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B55" w:rsidRPr="000918C6" w:rsidRDefault="00E73B55" w:rsidP="000918C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183A" w:rsidRPr="00D1183A" w:rsidRDefault="00D1183A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ru-RU"/>
        </w:rPr>
      </w:pPr>
    </w:p>
    <w:p w:rsidR="00A56D5D" w:rsidRDefault="00B84CDB" w:rsidP="00A56D5D">
      <w:pPr>
        <w:ind w:left="-142" w:right="28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84C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Місцезнаходження:</w:t>
      </w:r>
      <w:r w:rsidRPr="00B84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1CE0" w:rsidRPr="00791C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87510, Донецька область, </w:t>
      </w:r>
      <w:r w:rsidR="00791CE0" w:rsidRPr="00791CE0">
        <w:rPr>
          <w:rFonts w:ascii="Times New Roman" w:eastAsia="Times New Roman" w:hAnsi="Times New Roman" w:cs="Times New Roman"/>
          <w:sz w:val="24"/>
          <w:szCs w:val="24"/>
          <w:lang w:eastAsia="ru-RU"/>
        </w:rPr>
        <w:t>м. Маріуполь, проспект Адмірала Луніна, 2</w:t>
      </w:r>
      <w:r w:rsidR="00791CE0" w:rsidRPr="00791C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D1183A" w:rsidRPr="00D1183A" w:rsidRDefault="00B84CDB" w:rsidP="00A56D5D">
      <w:pPr>
        <w:ind w:left="-142" w:right="28"/>
        <w:rPr>
          <w:rFonts w:ascii="Times New Roman" w:hAnsi="Times New Roman"/>
          <w:sz w:val="24"/>
          <w:szCs w:val="24"/>
          <w:lang w:val="ru-RU"/>
        </w:rPr>
      </w:pPr>
      <w:r w:rsidRPr="00B84C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проведення </w:t>
      </w:r>
      <w:r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аукціону</w:t>
      </w:r>
      <w:r w:rsid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A56D5D">
        <w:rPr>
          <w:rFonts w:ascii="Calibri" w:eastAsia="Times New Roman" w:hAnsi="Calibri" w:cs="Times New Roman"/>
          <w:b/>
          <w:lang w:eastAsia="ru-RU"/>
        </w:rPr>
        <w:t xml:space="preserve"> </w:t>
      </w:r>
      <w:r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електронній торговій системі </w:t>
      </w:r>
      <w:proofErr w:type="spellStart"/>
      <w:r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Рго</w:t>
      </w:r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Zorro</w:t>
      </w:r>
      <w:proofErr w:type="spellEnd"/>
      <w:r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0AB6"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6B1B"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6D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Продажі </w:t>
      </w:r>
      <w:r w:rsidR="00506B1B" w:rsidRPr="00A56D5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56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6D5D" w:rsidRPr="00A56D5D">
        <w:rPr>
          <w:rFonts w:ascii="Times New Roman" w:hAnsi="Times New Roman"/>
          <w:sz w:val="24"/>
          <w:szCs w:val="24"/>
          <w:lang w:val="ru-RU"/>
        </w:rPr>
        <w:t>25</w:t>
      </w:r>
      <w:r w:rsidR="00506B1B" w:rsidRPr="00A56D5D">
        <w:rPr>
          <w:rFonts w:ascii="Times New Roman" w:hAnsi="Times New Roman"/>
          <w:sz w:val="24"/>
          <w:szCs w:val="24"/>
          <w:lang w:val="ru-RU"/>
        </w:rPr>
        <w:t xml:space="preserve"> лютого  </w:t>
      </w:r>
      <w:r w:rsidR="00DA5F39" w:rsidRPr="00A56D5D">
        <w:rPr>
          <w:rFonts w:ascii="Times New Roman" w:hAnsi="Times New Roman"/>
          <w:sz w:val="24"/>
          <w:szCs w:val="24"/>
        </w:rPr>
        <w:t>202</w:t>
      </w:r>
      <w:r w:rsidR="00297391" w:rsidRPr="00A56D5D">
        <w:rPr>
          <w:rFonts w:ascii="Times New Roman" w:hAnsi="Times New Roman"/>
          <w:sz w:val="24"/>
          <w:szCs w:val="24"/>
        </w:rPr>
        <w:t>2</w:t>
      </w:r>
      <w:r w:rsidR="00DA5F39" w:rsidRPr="00A56D5D">
        <w:rPr>
          <w:rFonts w:ascii="Times New Roman" w:hAnsi="Times New Roman"/>
          <w:sz w:val="24"/>
          <w:szCs w:val="24"/>
        </w:rPr>
        <w:t>.</w:t>
      </w:r>
      <w:r w:rsidR="00DA5F39" w:rsidRPr="00344EBB">
        <w:rPr>
          <w:rFonts w:ascii="Times New Roman" w:hAnsi="Times New Roman"/>
          <w:sz w:val="24"/>
          <w:szCs w:val="24"/>
        </w:rPr>
        <w:t xml:space="preserve"> </w:t>
      </w:r>
    </w:p>
    <w:p w:rsidR="00A56D5D" w:rsidRPr="00A56D5D" w:rsidRDefault="00A56D5D" w:rsidP="00466602">
      <w:pPr>
        <w:tabs>
          <w:tab w:val="left" w:pos="567"/>
        </w:tabs>
        <w:spacing w:after="120" w:line="240" w:lineRule="auto"/>
        <w:ind w:left="-142" w:right="2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Стартова</w:t>
      </w:r>
      <w:proofErr w:type="spellEnd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ціна</w:t>
      </w:r>
      <w:proofErr w:type="spellEnd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об’єкта</w:t>
      </w:r>
      <w:proofErr w:type="spellEnd"/>
      <w:r w:rsidRPr="00A56D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для:</w:t>
      </w:r>
    </w:p>
    <w:p w:rsidR="00A56D5D" w:rsidRPr="00A56D5D" w:rsidRDefault="00A56D5D" w:rsidP="00A56D5D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аукціону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умовами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211 398 320,00 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(без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ПДВ);</w:t>
      </w:r>
    </w:p>
    <w:p w:rsidR="00A56D5D" w:rsidRPr="00A56D5D" w:rsidRDefault="00A56D5D" w:rsidP="00A56D5D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аукціону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зниженням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стартової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ціни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– 105 699 160,00 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(без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ПДВ);</w:t>
      </w:r>
    </w:p>
    <w:p w:rsidR="00A56D5D" w:rsidRPr="00A56D5D" w:rsidRDefault="00A56D5D" w:rsidP="00A56D5D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аукціону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методом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покрокового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зниження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стартової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ціни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подальшого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цінових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пропозицій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–   105 699 160,00 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гривень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(без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ПДВ).</w:t>
      </w:r>
    </w:p>
    <w:p w:rsidR="00B84CDB" w:rsidRDefault="00A56D5D" w:rsidP="00A56D5D">
      <w:pPr>
        <w:tabs>
          <w:tab w:val="left" w:pos="567"/>
        </w:tabs>
        <w:spacing w:after="12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остаточну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ціну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продажу </w:t>
      </w:r>
      <w:proofErr w:type="spellStart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нараховується</w:t>
      </w:r>
      <w:proofErr w:type="spellEnd"/>
      <w:r w:rsidRPr="00A56D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ПДВ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Розмір гарантійного внеску для: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аукціону з умовами – </w:t>
      </w: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21 139 832,00  гривні</w:t>
      </w: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(без урахування ПДВ);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аукціону із зниженням стартової ціни–  </w:t>
      </w: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10 569 916,00 гривень</w:t>
      </w: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(без урахування ПДВ);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- аукціону за методом покрокового зниження стартової ціни та подальшого подання цінових пропозицій – </w:t>
      </w: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10 569 916,00 гривень</w:t>
      </w: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(без урахування ПДВ).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466602" w:rsidRPr="00466602" w:rsidRDefault="00466602" w:rsidP="0046660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Розмір реєстраційного внеску:</w:t>
      </w: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 1300 гривень.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466602" w:rsidRPr="00466602" w:rsidRDefault="00466602" w:rsidP="00466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Умови продажу:</w:t>
      </w:r>
    </w:p>
    <w:p w:rsidR="00466602" w:rsidRPr="00466602" w:rsidRDefault="00466602" w:rsidP="0046660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6602">
        <w:rPr>
          <w:rFonts w:ascii="Times New Roman" w:hAnsi="Times New Roman" w:cs="Times New Roman"/>
          <w:color w:val="000000" w:themeColor="text1"/>
          <w:sz w:val="24"/>
          <w:szCs w:val="24"/>
        </w:rPr>
        <w:t>Покупець єдиного майнового комплексу державного підприємства «Азовський судноремонтний завод»  від дати переходу права власності зобов’язаний  забезпечити:</w:t>
      </w:r>
    </w:p>
    <w:p w:rsidR="00466602" w:rsidRPr="00466602" w:rsidRDefault="00466602" w:rsidP="00466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66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збереження протягом 5-ти років з моменту   переходу права власності на об’єкт приватизації основних  видів  діяльності:</w:t>
      </w:r>
      <w:r w:rsidRPr="0046660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будування суден і плавучих конструкцій (КВЕД 30.11), ремонт і технічне обслуговування суден і човнів (КВЕД 33.15);</w:t>
      </w:r>
      <w:r w:rsidRPr="004666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66602" w:rsidRPr="00466602" w:rsidRDefault="00466602" w:rsidP="004666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6602">
        <w:rPr>
          <w:rFonts w:ascii="Times New Roman" w:hAnsi="Times New Roman"/>
          <w:color w:val="000000" w:themeColor="text1"/>
          <w:sz w:val="24"/>
          <w:szCs w:val="24"/>
        </w:rPr>
        <w:t>- погашення протягом 6-ти місяців з моменту переходу права власності на об’єкт приватизації боргів із заробітної плати та перед бюджетом, у розмірі, який  складеться на дату переходу права власності на об’єкт приватизації;</w:t>
      </w:r>
    </w:p>
    <w:p w:rsidR="00466602" w:rsidRPr="00466602" w:rsidRDefault="00466602" w:rsidP="004666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6602">
        <w:rPr>
          <w:rFonts w:ascii="Times New Roman" w:hAnsi="Times New Roman"/>
          <w:color w:val="000000" w:themeColor="text1"/>
          <w:sz w:val="24"/>
          <w:szCs w:val="24"/>
        </w:rPr>
        <w:t>- погашення протягом 6-ти місяців з моменту переходу права власності на об’єкт приватизації простроченої кредиторської заборгованості підприємства в розмірі, який складеться на дату переходу права власності на об’єкт приватизації;</w:t>
      </w:r>
    </w:p>
    <w:p w:rsidR="00466602" w:rsidRPr="00466602" w:rsidRDefault="00466602" w:rsidP="004666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6602">
        <w:rPr>
          <w:rFonts w:ascii="Times New Roman" w:hAnsi="Times New Roman"/>
          <w:color w:val="000000" w:themeColor="text1"/>
          <w:sz w:val="24"/>
          <w:szCs w:val="24"/>
        </w:rPr>
        <w:t xml:space="preserve">- недопущення звільнення працівників приватизованого підприємства з ініціативи нового власника  чи уповноваженого ним органу (за винятком  вчинення  працівником дій, за які </w:t>
      </w:r>
      <w:r w:rsidRPr="00466602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передбачено звільнення на підставі пунктів 3,4,7,8 частини першої статті 40 та статті 41 Кодексу законів про працю України) протягом шести місяців з дня переходу до нього права власності.  </w:t>
      </w:r>
    </w:p>
    <w:p w:rsidR="00B84CDB" w:rsidRPr="00B84CDB" w:rsidRDefault="00B84CDB" w:rsidP="00B84C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Орган </w:t>
      </w:r>
      <w:proofErr w:type="spellStart"/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>приватизації</w:t>
      </w:r>
      <w:proofErr w:type="spellEnd"/>
      <w:r w:rsidRPr="00D70A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ru-RU"/>
        </w:rPr>
        <w:t xml:space="preserve"> та контактна особа:</w:t>
      </w:r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Регіональне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Фонду державного майна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Донецькій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Луганській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областях, 61057,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Харківська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область, м.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Харків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майдан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Театральний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1, </w:t>
      </w:r>
      <w:r w:rsidR="0046660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Попова О. В.</w:t>
      </w:r>
      <w:bookmarkStart w:id="0" w:name="_GoBack"/>
      <w:bookmarkEnd w:id="0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тел. (057) 700-03-14, </w:t>
      </w:r>
      <w:hyperlink r:id="rId10" w:history="1">
        <w:r w:rsidRPr="003A464B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donetsk@spfu.gov.ua</w:t>
        </w:r>
      </w:hyperlink>
    </w:p>
    <w:p w:rsidR="00A56D5D" w:rsidRDefault="00B84CDB" w:rsidP="003A464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детальна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інформація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</w:t>
      </w:r>
      <w:proofErr w:type="gram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приватизації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посиланням</w:t>
      </w:r>
      <w:proofErr w:type="spellEnd"/>
      <w:r w:rsidRPr="00B84C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B84CDB" w:rsidRPr="000F0242" w:rsidRDefault="00A56D5D" w:rsidP="00A56D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28"/>
          <w:sz w:val="24"/>
          <w:szCs w:val="24"/>
          <w:lang w:val="ru-RU" w:eastAsia="ru-RU"/>
        </w:rPr>
      </w:pPr>
      <w:r w:rsidRPr="000918C6">
        <w:rPr>
          <w:rStyle w:val="a4"/>
          <w:rFonts w:ascii="Times New Roman" w:hAnsi="Times New Roman" w:cs="Times New Roman"/>
          <w:sz w:val="24"/>
          <w:szCs w:val="24"/>
        </w:rPr>
        <w:t>https://privatization.gov.ua/product/yedynyj-majnovyj-kompleks-derzhavnogo-pidpryyemstva-azovskyj-sudnoremontnyj-zavod/</w:t>
      </w:r>
    </w:p>
    <w:p w:rsidR="00B84CDB" w:rsidRPr="00B84CDB" w:rsidRDefault="00B84CDB" w:rsidP="00A56D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B84CDB" w:rsidRPr="00B84CDB" w:rsidRDefault="00B84CDB" w:rsidP="00B84CD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</w:p>
    <w:p w:rsidR="00434079" w:rsidRDefault="00434079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p w:rsidR="00D70AB6" w:rsidRDefault="00D70AB6" w:rsidP="00B44169">
      <w:pPr>
        <w:tabs>
          <w:tab w:val="left" w:pos="2052"/>
        </w:tabs>
        <w:rPr>
          <w:rFonts w:ascii="Arial" w:eastAsia="Times New Roman" w:hAnsi="Arial" w:cs="Arial"/>
          <w:sz w:val="63"/>
          <w:szCs w:val="63"/>
          <w:lang w:eastAsia="ru-RU"/>
        </w:rPr>
      </w:pPr>
    </w:p>
    <w:sectPr w:rsidR="00D70AB6" w:rsidSect="000918C6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5A6" w:rsidRDefault="009865A6" w:rsidP="00556C33">
      <w:pPr>
        <w:spacing w:after="0" w:line="240" w:lineRule="auto"/>
      </w:pPr>
      <w:r>
        <w:separator/>
      </w:r>
    </w:p>
  </w:endnote>
  <w:endnote w:type="continuationSeparator" w:id="0">
    <w:p w:rsidR="009865A6" w:rsidRDefault="009865A6" w:rsidP="00556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SchoolBook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5A6" w:rsidRDefault="009865A6" w:rsidP="00556C33">
      <w:pPr>
        <w:spacing w:after="0" w:line="240" w:lineRule="auto"/>
      </w:pPr>
      <w:r>
        <w:separator/>
      </w:r>
    </w:p>
  </w:footnote>
  <w:footnote w:type="continuationSeparator" w:id="0">
    <w:p w:rsidR="009865A6" w:rsidRDefault="009865A6" w:rsidP="00556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1499"/>
    <w:multiLevelType w:val="multilevel"/>
    <w:tmpl w:val="C2AA89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0520E"/>
    <w:multiLevelType w:val="hybridMultilevel"/>
    <w:tmpl w:val="80DCFE82"/>
    <w:lvl w:ilvl="0" w:tplc="5E1E0F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7C49"/>
    <w:multiLevelType w:val="hybridMultilevel"/>
    <w:tmpl w:val="38E2C7F4"/>
    <w:lvl w:ilvl="0" w:tplc="5E1E0F3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91C1B"/>
    <w:multiLevelType w:val="multilevel"/>
    <w:tmpl w:val="F3FC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F74FB"/>
    <w:multiLevelType w:val="multilevel"/>
    <w:tmpl w:val="4690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57F37"/>
    <w:multiLevelType w:val="multilevel"/>
    <w:tmpl w:val="79C4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E67716"/>
    <w:multiLevelType w:val="hybridMultilevel"/>
    <w:tmpl w:val="C0948994"/>
    <w:lvl w:ilvl="0" w:tplc="9DAC4E50">
      <w:start w:val="5"/>
      <w:numFmt w:val="bullet"/>
      <w:lvlText w:val="-"/>
      <w:lvlJc w:val="left"/>
      <w:pPr>
        <w:ind w:left="15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7" w:hanging="360"/>
      </w:pPr>
      <w:rPr>
        <w:rFonts w:ascii="Wingdings" w:hAnsi="Wingdings" w:hint="default"/>
      </w:rPr>
    </w:lvl>
  </w:abstractNum>
  <w:abstractNum w:abstractNumId="7">
    <w:nsid w:val="34B00D0A"/>
    <w:multiLevelType w:val="multilevel"/>
    <w:tmpl w:val="DD5E1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04617D"/>
    <w:multiLevelType w:val="multilevel"/>
    <w:tmpl w:val="A91C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1930FE"/>
    <w:multiLevelType w:val="multilevel"/>
    <w:tmpl w:val="76B8F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8A1DBE"/>
    <w:multiLevelType w:val="multilevel"/>
    <w:tmpl w:val="82BE37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BD45C4"/>
    <w:multiLevelType w:val="hybridMultilevel"/>
    <w:tmpl w:val="FA80B7BA"/>
    <w:lvl w:ilvl="0" w:tplc="498E1C1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31C17E9"/>
    <w:multiLevelType w:val="multilevel"/>
    <w:tmpl w:val="199E2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767D7"/>
    <w:multiLevelType w:val="hybridMultilevel"/>
    <w:tmpl w:val="E8D6DC76"/>
    <w:lvl w:ilvl="0" w:tplc="DE9C9DA2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6E6989"/>
    <w:multiLevelType w:val="multilevel"/>
    <w:tmpl w:val="E29042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0701F8"/>
    <w:multiLevelType w:val="hybridMultilevel"/>
    <w:tmpl w:val="89006344"/>
    <w:lvl w:ilvl="0" w:tplc="8EF6F832">
      <w:numFmt w:val="bullet"/>
      <w:lvlText w:val="-"/>
      <w:lvlJc w:val="left"/>
      <w:pPr>
        <w:ind w:left="1227" w:hanging="365"/>
      </w:pPr>
      <w:rPr>
        <w:rFonts w:ascii="Times New Roman" w:eastAsia="Times New Roman" w:hAnsi="Times New Roman" w:cs="Times New Roman" w:hint="default"/>
        <w:w w:val="92"/>
        <w:sz w:val="26"/>
        <w:szCs w:val="26"/>
        <w:lang w:val="uk-UA" w:eastAsia="en-US" w:bidi="ar-SA"/>
      </w:rPr>
    </w:lvl>
    <w:lvl w:ilvl="1" w:tplc="52D8969E">
      <w:numFmt w:val="bullet"/>
      <w:lvlText w:val="•"/>
      <w:lvlJc w:val="left"/>
      <w:pPr>
        <w:ind w:left="2106" w:hanging="365"/>
      </w:pPr>
      <w:rPr>
        <w:rFonts w:hint="default"/>
        <w:lang w:val="uk-UA" w:eastAsia="en-US" w:bidi="ar-SA"/>
      </w:rPr>
    </w:lvl>
    <w:lvl w:ilvl="2" w:tplc="ACDAB3C6">
      <w:numFmt w:val="bullet"/>
      <w:lvlText w:val="•"/>
      <w:lvlJc w:val="left"/>
      <w:pPr>
        <w:ind w:left="2992" w:hanging="365"/>
      </w:pPr>
      <w:rPr>
        <w:rFonts w:hint="default"/>
        <w:lang w:val="uk-UA" w:eastAsia="en-US" w:bidi="ar-SA"/>
      </w:rPr>
    </w:lvl>
    <w:lvl w:ilvl="3" w:tplc="614ADF8C">
      <w:numFmt w:val="bullet"/>
      <w:lvlText w:val="•"/>
      <w:lvlJc w:val="left"/>
      <w:pPr>
        <w:ind w:left="3878" w:hanging="365"/>
      </w:pPr>
      <w:rPr>
        <w:rFonts w:hint="default"/>
        <w:lang w:val="uk-UA" w:eastAsia="en-US" w:bidi="ar-SA"/>
      </w:rPr>
    </w:lvl>
    <w:lvl w:ilvl="4" w:tplc="99002A2A">
      <w:numFmt w:val="bullet"/>
      <w:lvlText w:val="•"/>
      <w:lvlJc w:val="left"/>
      <w:pPr>
        <w:ind w:left="4764" w:hanging="365"/>
      </w:pPr>
      <w:rPr>
        <w:rFonts w:hint="default"/>
        <w:lang w:val="uk-UA" w:eastAsia="en-US" w:bidi="ar-SA"/>
      </w:rPr>
    </w:lvl>
    <w:lvl w:ilvl="5" w:tplc="00ECD280">
      <w:numFmt w:val="bullet"/>
      <w:lvlText w:val="•"/>
      <w:lvlJc w:val="left"/>
      <w:pPr>
        <w:ind w:left="5650" w:hanging="365"/>
      </w:pPr>
      <w:rPr>
        <w:rFonts w:hint="default"/>
        <w:lang w:val="uk-UA" w:eastAsia="en-US" w:bidi="ar-SA"/>
      </w:rPr>
    </w:lvl>
    <w:lvl w:ilvl="6" w:tplc="20863E86">
      <w:numFmt w:val="bullet"/>
      <w:lvlText w:val="•"/>
      <w:lvlJc w:val="left"/>
      <w:pPr>
        <w:ind w:left="6536" w:hanging="365"/>
      </w:pPr>
      <w:rPr>
        <w:rFonts w:hint="default"/>
        <w:lang w:val="uk-UA" w:eastAsia="en-US" w:bidi="ar-SA"/>
      </w:rPr>
    </w:lvl>
    <w:lvl w:ilvl="7" w:tplc="2BB2A808">
      <w:numFmt w:val="bullet"/>
      <w:lvlText w:val="•"/>
      <w:lvlJc w:val="left"/>
      <w:pPr>
        <w:ind w:left="7422" w:hanging="365"/>
      </w:pPr>
      <w:rPr>
        <w:rFonts w:hint="default"/>
        <w:lang w:val="uk-UA" w:eastAsia="en-US" w:bidi="ar-SA"/>
      </w:rPr>
    </w:lvl>
    <w:lvl w:ilvl="8" w:tplc="D826AC0C">
      <w:numFmt w:val="bullet"/>
      <w:lvlText w:val="•"/>
      <w:lvlJc w:val="left"/>
      <w:pPr>
        <w:ind w:left="8308" w:hanging="365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7"/>
  </w:num>
  <w:num w:numId="10">
    <w:abstractNumId w:val="10"/>
  </w:num>
  <w:num w:numId="11">
    <w:abstractNumId w:val="14"/>
  </w:num>
  <w:num w:numId="12">
    <w:abstractNumId w:val="12"/>
  </w:num>
  <w:num w:numId="13">
    <w:abstractNumId w:val="15"/>
  </w:num>
  <w:num w:numId="14">
    <w:abstractNumId w:val="6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7B"/>
    <w:rsid w:val="000062D3"/>
    <w:rsid w:val="00020796"/>
    <w:rsid w:val="00040727"/>
    <w:rsid w:val="000918C6"/>
    <w:rsid w:val="000B79C6"/>
    <w:rsid w:val="000F0242"/>
    <w:rsid w:val="000F3DF9"/>
    <w:rsid w:val="00120033"/>
    <w:rsid w:val="00195049"/>
    <w:rsid w:val="001C7FCF"/>
    <w:rsid w:val="001D2B9A"/>
    <w:rsid w:val="001F4300"/>
    <w:rsid w:val="00200F51"/>
    <w:rsid w:val="002247FF"/>
    <w:rsid w:val="0024644C"/>
    <w:rsid w:val="00297391"/>
    <w:rsid w:val="0030274B"/>
    <w:rsid w:val="0033589E"/>
    <w:rsid w:val="00337D8A"/>
    <w:rsid w:val="00344EBB"/>
    <w:rsid w:val="003764F1"/>
    <w:rsid w:val="003A464B"/>
    <w:rsid w:val="003D7EF7"/>
    <w:rsid w:val="0040275D"/>
    <w:rsid w:val="00411B03"/>
    <w:rsid w:val="0041711B"/>
    <w:rsid w:val="004173CB"/>
    <w:rsid w:val="0043381A"/>
    <w:rsid w:val="00434079"/>
    <w:rsid w:val="00466602"/>
    <w:rsid w:val="00472F86"/>
    <w:rsid w:val="004B29D9"/>
    <w:rsid w:val="004B3F6F"/>
    <w:rsid w:val="00506B1B"/>
    <w:rsid w:val="00513C97"/>
    <w:rsid w:val="005456F9"/>
    <w:rsid w:val="00556C33"/>
    <w:rsid w:val="005C0F11"/>
    <w:rsid w:val="005E0942"/>
    <w:rsid w:val="00673F04"/>
    <w:rsid w:val="00690061"/>
    <w:rsid w:val="006B7008"/>
    <w:rsid w:val="00704E15"/>
    <w:rsid w:val="0075796D"/>
    <w:rsid w:val="00783F1E"/>
    <w:rsid w:val="00791CE0"/>
    <w:rsid w:val="007F45B1"/>
    <w:rsid w:val="0080283C"/>
    <w:rsid w:val="00874F82"/>
    <w:rsid w:val="008A4115"/>
    <w:rsid w:val="008B03BB"/>
    <w:rsid w:val="00930A41"/>
    <w:rsid w:val="009865A6"/>
    <w:rsid w:val="009C1AA2"/>
    <w:rsid w:val="009E336C"/>
    <w:rsid w:val="00A0507B"/>
    <w:rsid w:val="00A21DF3"/>
    <w:rsid w:val="00A33BFE"/>
    <w:rsid w:val="00A56D5D"/>
    <w:rsid w:val="00A82F83"/>
    <w:rsid w:val="00AB4EFA"/>
    <w:rsid w:val="00AC3B1E"/>
    <w:rsid w:val="00B44169"/>
    <w:rsid w:val="00B77A3F"/>
    <w:rsid w:val="00B84CDB"/>
    <w:rsid w:val="00C50CD1"/>
    <w:rsid w:val="00D1183A"/>
    <w:rsid w:val="00D2097F"/>
    <w:rsid w:val="00D70AB6"/>
    <w:rsid w:val="00DA5F39"/>
    <w:rsid w:val="00DB4470"/>
    <w:rsid w:val="00DE2148"/>
    <w:rsid w:val="00E73B55"/>
    <w:rsid w:val="00EB1E82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1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1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B1E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C33"/>
    <w:rPr>
      <w:lang w:val="uk-UA"/>
    </w:rPr>
  </w:style>
  <w:style w:type="paragraph" w:styleId="a9">
    <w:name w:val="footer"/>
    <w:basedOn w:val="a"/>
    <w:link w:val="aa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C33"/>
    <w:rPr>
      <w:lang w:val="uk-UA"/>
    </w:rPr>
  </w:style>
  <w:style w:type="paragraph" w:styleId="ab">
    <w:name w:val="Body Text"/>
    <w:basedOn w:val="a"/>
    <w:link w:val="ac"/>
    <w:rsid w:val="00DA5F3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A5F39"/>
    <w:rPr>
      <w:rFonts w:ascii="UkrainianSchoolBook" w:eastAsia="Times New Roman" w:hAnsi="UkrainianSchoolBook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0F02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0242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F3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1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711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3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B1E"/>
    <w:rPr>
      <w:rFonts w:ascii="Tahoma" w:hAnsi="Tahoma" w:cs="Tahoma"/>
      <w:sz w:val="16"/>
      <w:szCs w:val="16"/>
      <w:lang w:val="uk-UA"/>
    </w:rPr>
  </w:style>
  <w:style w:type="paragraph" w:styleId="a7">
    <w:name w:val="header"/>
    <w:basedOn w:val="a"/>
    <w:link w:val="a8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6C33"/>
    <w:rPr>
      <w:lang w:val="uk-UA"/>
    </w:rPr>
  </w:style>
  <w:style w:type="paragraph" w:styleId="a9">
    <w:name w:val="footer"/>
    <w:basedOn w:val="a"/>
    <w:link w:val="aa"/>
    <w:uiPriority w:val="99"/>
    <w:unhideWhenUsed/>
    <w:rsid w:val="00556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6C33"/>
    <w:rPr>
      <w:lang w:val="uk-UA"/>
    </w:rPr>
  </w:style>
  <w:style w:type="paragraph" w:styleId="ab">
    <w:name w:val="Body Text"/>
    <w:basedOn w:val="a"/>
    <w:link w:val="ac"/>
    <w:rsid w:val="00DA5F39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DA5F39"/>
    <w:rPr>
      <w:rFonts w:ascii="UkrainianSchoolBook" w:eastAsia="Times New Roman" w:hAnsi="UkrainianSchoolBook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0F02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0242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85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netsk@spfii.gov.u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2022-01-12T11:31:00Z</cp:lastPrinted>
  <dcterms:created xsi:type="dcterms:W3CDTF">2021-06-29T09:56:00Z</dcterms:created>
  <dcterms:modified xsi:type="dcterms:W3CDTF">2022-02-08T13:29:00Z</dcterms:modified>
</cp:coreProperties>
</file>