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CE" w:rsidRPr="006A68E1" w:rsidRDefault="002166B1" w:rsidP="003A7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  <w:t xml:space="preserve">Пояснювальна записка до звіту про виконання бюджету </w:t>
      </w:r>
      <w:proofErr w:type="spellStart"/>
      <w:r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  <w:t>Ольгинської</w:t>
      </w:r>
      <w:proofErr w:type="spellEnd"/>
      <w:r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  <w:t xml:space="preserve"> </w:t>
      </w:r>
      <w:r w:rsidR="00EE49CE" w:rsidRPr="006A68E1"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  <w:t xml:space="preserve"> об’єднаної територіальної </w:t>
      </w:r>
      <w:r w:rsidR="004232BA" w:rsidRPr="006A68E1"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  <w:t xml:space="preserve"> </w:t>
      </w:r>
      <w:r w:rsidR="00EE49CE" w:rsidRPr="006A68E1">
        <w:rPr>
          <w:rFonts w:ascii="Times New Roman" w:hAnsi="Times New Roman" w:cs="Times New Roman"/>
          <w:b/>
          <w:i/>
          <w:color w:val="000000"/>
          <w:spacing w:val="-4"/>
          <w:sz w:val="26"/>
          <w:szCs w:val="26"/>
          <w:lang w:val="uk-UA"/>
        </w:rPr>
        <w:t>громади</w:t>
      </w:r>
    </w:p>
    <w:p w:rsidR="00EE49CE" w:rsidRPr="006A68E1" w:rsidRDefault="00ED68BA" w:rsidP="003A7FE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  <w:t>за І</w:t>
      </w:r>
      <w:r w:rsidR="00EE49CE" w:rsidRPr="006A68E1"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  <w:t xml:space="preserve"> </w:t>
      </w:r>
      <w:r w:rsidR="00A07C5D"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  <w:t>півріччя</w:t>
      </w:r>
      <w:r w:rsidR="00EE49CE" w:rsidRPr="006A68E1"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  <w:t xml:space="preserve"> 20</w:t>
      </w:r>
      <w:r w:rsidR="002166B1"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  <w:t>21</w:t>
      </w:r>
      <w:r w:rsidR="00EE49CE" w:rsidRPr="006A68E1">
        <w:rPr>
          <w:rFonts w:ascii="Times New Roman" w:hAnsi="Times New Roman" w:cs="Times New Roman"/>
          <w:b/>
          <w:i/>
          <w:color w:val="000000"/>
          <w:spacing w:val="1"/>
          <w:sz w:val="26"/>
          <w:szCs w:val="26"/>
          <w:lang w:val="uk-UA"/>
        </w:rPr>
        <w:t xml:space="preserve"> року</w:t>
      </w:r>
    </w:p>
    <w:p w:rsidR="006A68E1" w:rsidRDefault="006A68E1" w:rsidP="006A68E1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41BE9" w:rsidRPr="00241BE9" w:rsidRDefault="00380CF2" w:rsidP="00241BE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1BE9">
        <w:rPr>
          <w:rFonts w:ascii="Times New Roman" w:hAnsi="Times New Roman" w:cs="Times New Roman"/>
          <w:b/>
          <w:sz w:val="28"/>
          <w:szCs w:val="28"/>
          <w:lang w:val="uk-UA"/>
        </w:rPr>
        <w:t>ДОХОДИ</w:t>
      </w:r>
    </w:p>
    <w:p w:rsidR="00241BE9" w:rsidRPr="003141E0" w:rsidRDefault="00241BE9" w:rsidP="00241BE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BE9">
        <w:rPr>
          <w:rFonts w:ascii="Times New Roman" w:hAnsi="Times New Roman" w:cs="Times New Roman"/>
          <w:b/>
          <w:sz w:val="28"/>
          <w:szCs w:val="28"/>
          <w:lang w:val="uk-UA"/>
        </w:rPr>
        <w:t>Загальний фонд</w:t>
      </w:r>
    </w:p>
    <w:p w:rsidR="00241BE9" w:rsidRPr="003141E0" w:rsidRDefault="00241BE9" w:rsidP="00241BE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CF2" w:rsidRDefault="00380CF2" w:rsidP="00380C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1 </w:t>
      </w:r>
      <w:r>
        <w:rPr>
          <w:rFonts w:ascii="Times New Roman" w:hAnsi="Times New Roman" w:cs="Times New Roman"/>
          <w:sz w:val="24"/>
          <w:szCs w:val="24"/>
          <w:lang w:val="uk-UA"/>
        </w:rPr>
        <w:t>півріччя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2166B1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року надходження загального фонду бюджету об’єднаної територіальної громади складають </w:t>
      </w:r>
      <w:r w:rsidR="00241BE9" w:rsidRPr="00B456F0">
        <w:rPr>
          <w:rFonts w:ascii="Times New Roman" w:hAnsi="Times New Roman" w:cs="Times New Roman"/>
          <w:sz w:val="24"/>
          <w:szCs w:val="24"/>
        </w:rPr>
        <w:t>72</w:t>
      </w:r>
      <w:r w:rsidR="00241BE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1BE9" w:rsidRPr="00B456F0">
        <w:rPr>
          <w:rFonts w:ascii="Times New Roman" w:hAnsi="Times New Roman" w:cs="Times New Roman"/>
          <w:sz w:val="24"/>
          <w:szCs w:val="24"/>
        </w:rPr>
        <w:t>532</w:t>
      </w:r>
      <w:r w:rsidR="00241BE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1BE9" w:rsidRPr="00B456F0">
        <w:rPr>
          <w:rFonts w:ascii="Times New Roman" w:hAnsi="Times New Roman" w:cs="Times New Roman"/>
          <w:sz w:val="24"/>
          <w:szCs w:val="24"/>
        </w:rPr>
        <w:t>618</w:t>
      </w:r>
      <w:r w:rsidR="00241BE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41BE9" w:rsidRPr="00B456F0">
        <w:rPr>
          <w:rFonts w:ascii="Times New Roman" w:hAnsi="Times New Roman" w:cs="Times New Roman"/>
          <w:sz w:val="24"/>
          <w:szCs w:val="24"/>
        </w:rPr>
        <w:t>00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>
        <w:rPr>
          <w:rFonts w:ascii="Times New Roman" w:hAnsi="Times New Roman" w:cs="Times New Roman"/>
          <w:sz w:val="24"/>
          <w:szCs w:val="24"/>
          <w:lang w:val="uk-UA"/>
        </w:rPr>
        <w:t>, в т.ч. о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>фіційн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1BE9">
        <w:rPr>
          <w:rFonts w:ascii="Times New Roman" w:hAnsi="Times New Roman" w:cs="Times New Roman"/>
          <w:sz w:val="24"/>
          <w:szCs w:val="24"/>
          <w:lang w:val="uk-UA"/>
        </w:rPr>
        <w:t>24 169 603,00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грн. (освітня та медична субвенція,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субвенція з державного бюджету на  формування інфраструктури, 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>субвенці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з місцевого бюджету). План по доходах загального фонду бюджету за 1 </w:t>
      </w:r>
      <w:r>
        <w:rPr>
          <w:rFonts w:ascii="Times New Roman" w:hAnsi="Times New Roman" w:cs="Times New Roman"/>
          <w:sz w:val="24"/>
          <w:szCs w:val="24"/>
          <w:lang w:val="uk-UA"/>
        </w:rPr>
        <w:t>півріччя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241BE9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року з врахуванням трансфертів виконано на </w:t>
      </w:r>
      <w:r w:rsidR="00103161">
        <w:rPr>
          <w:rFonts w:ascii="Times New Roman" w:hAnsi="Times New Roman" w:cs="Times New Roman"/>
          <w:sz w:val="24"/>
          <w:szCs w:val="24"/>
          <w:lang w:val="uk-UA"/>
        </w:rPr>
        <w:t>103,34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%. </w:t>
      </w:r>
    </w:p>
    <w:p w:rsidR="00380CF2" w:rsidRDefault="00380CF2" w:rsidP="00764C4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В загальній сумі доходів загального фонду бюджету громади найбільшу питому вагу складають надходження податку на доходи фізичних осіб </w:t>
      </w:r>
      <w:r w:rsidR="003141E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56F0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Pr="00A70B20">
        <w:rPr>
          <w:rFonts w:ascii="Times New Roman" w:hAnsi="Times New Roman" w:cs="Times New Roman"/>
          <w:sz w:val="24"/>
          <w:szCs w:val="24"/>
          <w:lang w:val="uk-UA"/>
        </w:rPr>
        <w:t xml:space="preserve">%, субвенції з державного бюджету місцевим бюджетам - </w:t>
      </w:r>
      <w:r w:rsidR="00BA7671">
        <w:rPr>
          <w:rFonts w:ascii="Times New Roman" w:hAnsi="Times New Roman" w:cs="Times New Roman"/>
          <w:sz w:val="24"/>
          <w:szCs w:val="24"/>
          <w:lang w:val="uk-UA"/>
        </w:rPr>
        <w:t>33%.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80CF2" w:rsidRDefault="00380CF2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Доходи зага</w:t>
      </w:r>
      <w:r w:rsidRPr="0086540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льного фонду бюджету </w:t>
      </w:r>
      <w:r w:rsidRPr="00865406"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</w:t>
      </w:r>
      <w:r w:rsidRPr="0086540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складають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: податок та збір на доходи фізичних осіб </w:t>
      </w:r>
      <w:r w:rsidR="00BA7671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BA7671">
        <w:rPr>
          <w:rFonts w:ascii="Times New Roman" w:eastAsia="MS Mincho" w:hAnsi="Times New Roman" w:cs="Times New Roman"/>
          <w:sz w:val="24"/>
          <w:szCs w:val="24"/>
          <w:lang w:val="uk-UA"/>
        </w:rPr>
        <w:t>37 657 906,00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под</w:t>
      </w:r>
      <w:r w:rsidR="000A0BE9">
        <w:rPr>
          <w:rFonts w:ascii="Times New Roman" w:eastAsia="MS Mincho" w:hAnsi="Times New Roman" w:cs="Times New Roman"/>
          <w:sz w:val="24"/>
          <w:szCs w:val="24"/>
          <w:lang w:val="uk-UA"/>
        </w:rPr>
        <w:t>аток на прибуток підприємств – 6 500,00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рентна плата за спеціальне використання лісових ресурсів </w:t>
      </w:r>
      <w:r w:rsidR="008C7AF9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C7AF9">
        <w:rPr>
          <w:rFonts w:ascii="Times New Roman" w:eastAsia="MS Mincho" w:hAnsi="Times New Roman" w:cs="Times New Roman"/>
          <w:sz w:val="24"/>
          <w:szCs w:val="24"/>
          <w:lang w:val="uk-UA"/>
        </w:rPr>
        <w:t>14 132,00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рентна плата за користування надрами </w:t>
      </w:r>
      <w:r w:rsidR="008C7AF9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C7AF9">
        <w:rPr>
          <w:rFonts w:ascii="Times New Roman" w:eastAsia="MS Mincho" w:hAnsi="Times New Roman" w:cs="Times New Roman"/>
          <w:sz w:val="24"/>
          <w:szCs w:val="24"/>
          <w:lang w:val="uk-UA"/>
        </w:rPr>
        <w:t>1 177 911,00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акцизний податок </w:t>
      </w:r>
      <w:r w:rsidR="003A25F2">
        <w:rPr>
          <w:rFonts w:ascii="Times New Roman" w:eastAsia="MS Mincho" w:hAnsi="Times New Roman" w:cs="Times New Roman"/>
          <w:sz w:val="24"/>
          <w:szCs w:val="24"/>
          <w:lang w:val="uk-UA"/>
        </w:rPr>
        <w:t>з вироблених в Україні підакцизних товарів (пальне)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C7AF9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3A25F2">
        <w:rPr>
          <w:rFonts w:ascii="Times New Roman" w:eastAsia="MS Mincho" w:hAnsi="Times New Roman" w:cs="Times New Roman"/>
          <w:sz w:val="24"/>
          <w:szCs w:val="24"/>
          <w:lang w:val="uk-UA"/>
        </w:rPr>
        <w:t>133 211,0</w:t>
      </w:r>
      <w:r w:rsidR="008C7AF9">
        <w:rPr>
          <w:rFonts w:ascii="Times New Roman" w:eastAsia="MS Mincho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</w:t>
      </w:r>
      <w:r w:rsidR="003A25F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акцизний податок з ввезених на митну територію </w:t>
      </w:r>
      <w:r w:rsidR="00FF4E5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України підакцизних товарів (паливо) – 452 409,00 грн., акцизний податок з реалізації суб’єктами господарювання роздрібної торгівлі підакцизних товарів – 318 632,00 грн.,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податок на майно </w:t>
      </w:r>
      <w:r w:rsidR="00FF4E51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FF4E51">
        <w:rPr>
          <w:rFonts w:ascii="Times New Roman" w:eastAsia="MS Mincho" w:hAnsi="Times New Roman" w:cs="Times New Roman"/>
          <w:sz w:val="24"/>
          <w:szCs w:val="24"/>
          <w:lang w:val="uk-UA"/>
        </w:rPr>
        <w:t>5 187 734,00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єдиний податок 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3 247 913,00 грн.,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інші надходження 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>9 590,00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плата за надання 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>адміністративн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>их послуг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 w:rsidR="00D67A0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>3 368,00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надходження від орендної плати за користування цілісним майновим комплексом та іншим майном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>, що перебуває  в комунальній власності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>16 131,00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грн., </w:t>
      </w:r>
      <w:r w:rsidR="00557B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державне мито – 3 124,00 грн., інші неподаткові надходження – 134 455,00 грн., </w:t>
      </w:r>
      <w:r w:rsidR="00D4132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базова дотація – 1 990 200,00 грн., освітня субвенція з державного бюджету – 20 769 900,00 грн., дотація з місцевого бюджету на здійснення переданих з державного бюджету видатків з утримання закладів освіти та охорони здоров’я  - </w:t>
      </w:r>
      <w:r w:rsidR="00873E3F" w:rsidRPr="00873E3F">
        <w:rPr>
          <w:rFonts w:ascii="Times New Roman" w:eastAsia="MS Mincho" w:hAnsi="Times New Roman" w:cs="Times New Roman"/>
          <w:sz w:val="24"/>
          <w:szCs w:val="24"/>
          <w:lang w:val="uk-UA"/>
        </w:rPr>
        <w:t>87</w:t>
      </w:r>
      <w:r w:rsidR="00873E3F">
        <w:rPr>
          <w:rFonts w:ascii="Times New Roman" w:eastAsia="MS Mincho" w:hAnsi="Times New Roman" w:cs="Times New Roman"/>
          <w:sz w:val="24"/>
          <w:szCs w:val="24"/>
        </w:rPr>
        <w:t> </w:t>
      </w:r>
      <w:r w:rsidR="00873E3F" w:rsidRPr="00873E3F">
        <w:rPr>
          <w:rFonts w:ascii="Times New Roman" w:eastAsia="MS Mincho" w:hAnsi="Times New Roman" w:cs="Times New Roman"/>
          <w:sz w:val="24"/>
          <w:szCs w:val="24"/>
          <w:lang w:val="uk-UA"/>
        </w:rPr>
        <w:t>300,00 грн.,</w:t>
      </w:r>
      <w:r w:rsidR="00873E3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субвенції з </w:t>
      </w:r>
      <w:r w:rsidR="00873E3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місцевих бюджетів іншим місцевим бюджетам – 536 503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="00873E3F">
        <w:rPr>
          <w:rFonts w:ascii="Times New Roman" w:eastAsia="MS Mincho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0</w:t>
      </w:r>
      <w:r w:rsidR="00873E3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грн.  </w:t>
      </w: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Default="00B33479" w:rsidP="00380CF2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B33479" w:rsidRPr="00865406" w:rsidRDefault="00B33479" w:rsidP="00380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0CF2" w:rsidRDefault="00380CF2" w:rsidP="00380C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3479" w:rsidRDefault="00380CF2" w:rsidP="00B33479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B13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Структура доход</w:t>
      </w:r>
      <w:r w:rsidR="005B1326">
        <w:rPr>
          <w:rFonts w:ascii="Times New Roman" w:hAnsi="Times New Roman" w:cs="Times New Roman"/>
          <w:b/>
          <w:sz w:val="28"/>
          <w:szCs w:val="28"/>
          <w:lang w:val="uk-UA"/>
        </w:rPr>
        <w:t>ів загального фонду бюджету ОТГ</w:t>
      </w:r>
      <w:r w:rsidRPr="005B132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33479" w:rsidRPr="00B33479" w:rsidRDefault="00B33479" w:rsidP="00B3347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32042" cy="4645152"/>
            <wp:effectExtent l="19050" t="0" r="25908" b="3048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E2E1F" w:rsidRDefault="00EE2E1F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380CF2" w:rsidRPr="00D640FF" w:rsidRDefault="00380CF2" w:rsidP="00380CF2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D640FF">
        <w:rPr>
          <w:rFonts w:ascii="Times New Roman" w:hAnsi="Times New Roman" w:cs="Times New Roman"/>
          <w:b/>
          <w:i/>
          <w:sz w:val="26"/>
          <w:szCs w:val="26"/>
          <w:lang w:val="uk-UA"/>
        </w:rPr>
        <w:lastRenderedPageBreak/>
        <w:t>Спеціальний фонд</w:t>
      </w:r>
    </w:p>
    <w:p w:rsidR="00380CF2" w:rsidRDefault="00380CF2" w:rsidP="00380C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6F70">
        <w:rPr>
          <w:rFonts w:ascii="Times New Roman" w:hAnsi="Times New Roman" w:cs="Times New Roman"/>
          <w:sz w:val="24"/>
          <w:szCs w:val="24"/>
          <w:lang w:val="uk-UA"/>
        </w:rPr>
        <w:t>До спеціального фонду бюджету об’єднаної територіальної громади за 1 півріччя 20</w:t>
      </w:r>
      <w:r w:rsidR="001663EC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2C6F70">
        <w:rPr>
          <w:rFonts w:ascii="Times New Roman" w:hAnsi="Times New Roman" w:cs="Times New Roman"/>
          <w:sz w:val="24"/>
          <w:szCs w:val="24"/>
          <w:lang w:val="uk-UA"/>
        </w:rPr>
        <w:t xml:space="preserve"> року надійшло </w:t>
      </w:r>
      <w:r w:rsidR="001663EC">
        <w:rPr>
          <w:rFonts w:ascii="Times New Roman" w:hAnsi="Times New Roman" w:cs="Times New Roman"/>
          <w:sz w:val="24"/>
          <w:szCs w:val="24"/>
          <w:lang w:val="uk-UA"/>
        </w:rPr>
        <w:t>1 549 140,00</w:t>
      </w:r>
      <w:r w:rsidRPr="002C6F70">
        <w:rPr>
          <w:rFonts w:ascii="Times New Roman" w:hAnsi="Times New Roman" w:cs="Times New Roman"/>
          <w:sz w:val="24"/>
          <w:szCs w:val="24"/>
          <w:lang w:val="uk-UA"/>
        </w:rPr>
        <w:t xml:space="preserve"> грн., план по доходах спеціального фонду бюджету за 1 півріччя 20</w:t>
      </w:r>
      <w:r w:rsidR="001663EC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2C6F70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виконано на </w:t>
      </w:r>
      <w:r w:rsidR="001663EC">
        <w:rPr>
          <w:rFonts w:ascii="Times New Roman" w:hAnsi="Times New Roman" w:cs="Times New Roman"/>
          <w:sz w:val="24"/>
          <w:szCs w:val="24"/>
          <w:lang w:val="uk-UA"/>
        </w:rPr>
        <w:t>71,69</w:t>
      </w:r>
      <w:r w:rsidRPr="002C6F70">
        <w:rPr>
          <w:rFonts w:ascii="Times New Roman" w:hAnsi="Times New Roman" w:cs="Times New Roman"/>
          <w:sz w:val="24"/>
          <w:szCs w:val="24"/>
          <w:lang w:val="uk-UA"/>
        </w:rPr>
        <w:t xml:space="preserve">%. </w:t>
      </w:r>
    </w:p>
    <w:p w:rsidR="00380CF2" w:rsidRDefault="00380CF2" w:rsidP="00380CF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C6F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Доходи спеціального фонду бюджету </w:t>
      </w:r>
      <w:r w:rsidRPr="002C6F70"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</w:t>
      </w:r>
      <w:r w:rsidRPr="002C6F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ск</w:t>
      </w:r>
      <w:r w:rsidR="001663EC">
        <w:rPr>
          <w:rFonts w:ascii="Times New Roman" w:eastAsia="MS Mincho" w:hAnsi="Times New Roman" w:cs="Times New Roman"/>
          <w:sz w:val="24"/>
          <w:szCs w:val="24"/>
          <w:lang w:val="uk-UA"/>
        </w:rPr>
        <w:t>ладають:  екологічний податок 600 192,00</w:t>
      </w:r>
      <w:r w:rsidRPr="002C6F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</w:t>
      </w:r>
      <w:r w:rsidRPr="002C6F70">
        <w:rPr>
          <w:rFonts w:ascii="Times New Roman" w:hAnsi="Times New Roman" w:cs="Times New Roman"/>
          <w:sz w:val="24"/>
          <w:szCs w:val="24"/>
          <w:lang w:val="uk-UA"/>
        </w:rPr>
        <w:t xml:space="preserve">надходження від плати за послуги, що надаються бюджетними установами згідно із законодавством </w:t>
      </w:r>
      <w:r w:rsidR="001663EC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1663E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190 220,00</w:t>
      </w:r>
      <w:r w:rsidRPr="002C6F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грн., інші джерела власних надходжень бюджетних установ </w:t>
      </w:r>
      <w:r w:rsidR="001663EC">
        <w:rPr>
          <w:rFonts w:ascii="Times New Roman" w:eastAsia="MS Mincho" w:hAnsi="Times New Roman" w:cs="Times New Roman"/>
          <w:sz w:val="24"/>
          <w:szCs w:val="24"/>
          <w:lang w:val="uk-UA"/>
        </w:rPr>
        <w:t>–</w:t>
      </w:r>
      <w:r w:rsidRPr="002C6F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1663EC">
        <w:rPr>
          <w:rFonts w:ascii="Times New Roman" w:eastAsia="MS Mincho" w:hAnsi="Times New Roman" w:cs="Times New Roman"/>
          <w:sz w:val="24"/>
          <w:szCs w:val="24"/>
          <w:lang w:val="uk-UA"/>
        </w:rPr>
        <w:t>758 728,00</w:t>
      </w:r>
      <w:r w:rsidRPr="002C6F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грн.</w:t>
      </w:r>
    </w:p>
    <w:p w:rsidR="006620ED" w:rsidRPr="00061EA6" w:rsidRDefault="006620ED" w:rsidP="00380C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380CF2" w:rsidRDefault="00380CF2" w:rsidP="006620ED">
      <w:pPr>
        <w:ind w:firstLine="72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620ED">
        <w:rPr>
          <w:rFonts w:ascii="Times New Roman" w:hAnsi="Times New Roman" w:cs="Times New Roman"/>
          <w:b/>
          <w:sz w:val="24"/>
          <w:szCs w:val="24"/>
          <w:lang w:val="uk-UA"/>
        </w:rPr>
        <w:t>Структура доходів спеціального фонду бюджету ОТГ:</w:t>
      </w:r>
      <w:r w:rsidRPr="00061EA6">
        <w:rPr>
          <w:rFonts w:ascii="Times New Roman" w:hAnsi="Times New Roman" w:cs="Times New Roman"/>
          <w:noProof/>
          <w:sz w:val="26"/>
          <w:szCs w:val="26"/>
          <w:highlight w:val="yellow"/>
        </w:rPr>
        <w:drawing>
          <wp:inline distT="0" distB="0" distL="0" distR="0">
            <wp:extent cx="6270143" cy="4059936"/>
            <wp:effectExtent l="19050" t="0" r="16357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2E1F" w:rsidRDefault="00EE2E1F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0943" w:rsidRPr="006A68E1" w:rsidRDefault="00260943" w:rsidP="002609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68E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ВИДАТКИ</w:t>
      </w:r>
    </w:p>
    <w:p w:rsidR="00260943" w:rsidRPr="006A68E1" w:rsidRDefault="00260943" w:rsidP="00260943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6A68E1">
        <w:rPr>
          <w:rFonts w:ascii="Times New Roman" w:hAnsi="Times New Roman" w:cs="Times New Roman"/>
          <w:b/>
          <w:i/>
          <w:sz w:val="26"/>
          <w:szCs w:val="26"/>
          <w:lang w:val="uk-UA"/>
        </w:rPr>
        <w:t>Загальний фонд</w:t>
      </w:r>
    </w:p>
    <w:p w:rsidR="00943F25" w:rsidRDefault="00260943" w:rsidP="0094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6DD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Видатки загального фонду бюджету об'єднаної територіальної громади за І </w:t>
      </w:r>
      <w:r w:rsidR="00A07C5D">
        <w:rPr>
          <w:rFonts w:ascii="Times New Roman" w:hAnsi="Times New Roman" w:cs="Times New Roman"/>
          <w:sz w:val="24"/>
          <w:szCs w:val="24"/>
          <w:lang w:val="uk-UA"/>
        </w:rPr>
        <w:t>півріччя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виконано в сумі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57 821 823,00</w:t>
      </w:r>
      <w:r w:rsidR="00A07C5D">
        <w:rPr>
          <w:rFonts w:ascii="Times New Roman" w:hAnsi="Times New Roman" w:cs="Times New Roman"/>
          <w:sz w:val="24"/>
          <w:szCs w:val="24"/>
          <w:lang w:val="uk-UA"/>
        </w:rPr>
        <w:t xml:space="preserve"> грн., що становить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82,56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A07C5D">
        <w:rPr>
          <w:rFonts w:ascii="Times New Roman" w:hAnsi="Times New Roman" w:cs="Times New Roman"/>
          <w:sz w:val="24"/>
          <w:szCs w:val="24"/>
          <w:lang w:val="uk-UA"/>
        </w:rPr>
        <w:t>до уточненого плану за І півріччя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:rsidR="00260943" w:rsidRDefault="00260943" w:rsidP="0094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02E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86002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="00E8005E">
        <w:rPr>
          <w:rFonts w:ascii="Times New Roman" w:hAnsi="Times New Roman" w:cs="Times New Roman"/>
          <w:sz w:val="24"/>
          <w:szCs w:val="24"/>
          <w:lang w:val="uk-UA"/>
        </w:rPr>
        <w:t>І півріччя</w:t>
      </w:r>
      <w:r w:rsidR="009A11C7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9A11C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086002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482245">
        <w:rPr>
          <w:rFonts w:ascii="Times New Roman" w:hAnsi="Times New Roman" w:cs="Times New Roman"/>
          <w:sz w:val="24"/>
          <w:szCs w:val="24"/>
          <w:lang w:val="uk-UA"/>
        </w:rPr>
        <w:t>фінансовано</w:t>
      </w:r>
      <w:r w:rsidR="00CF3AA4">
        <w:rPr>
          <w:rFonts w:ascii="Times New Roman" w:hAnsi="Times New Roman" w:cs="Times New Roman"/>
          <w:sz w:val="24"/>
          <w:szCs w:val="24"/>
          <w:lang w:val="uk-UA"/>
        </w:rPr>
        <w:t xml:space="preserve"> за галузевою ознакою н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а державне управління  - 8 458 181,00</w:t>
      </w:r>
      <w:r w:rsidR="00CF3AA4"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 w:rsidR="00CF3AA4">
        <w:rPr>
          <w:rFonts w:ascii="Times New Roman" w:hAnsi="Times New Roman" w:cs="Times New Roman"/>
          <w:sz w:val="24"/>
          <w:szCs w:val="24"/>
          <w:lang w:val="uk-UA"/>
        </w:rPr>
        <w:t>., на утримання</w:t>
      </w:r>
      <w:r w:rsidR="004822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3AA4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освіти в сумі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– 39 692 756,00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1A4B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6002">
        <w:rPr>
          <w:rFonts w:ascii="Times New Roman" w:hAnsi="Times New Roman" w:cs="Times New Roman"/>
          <w:sz w:val="24"/>
          <w:szCs w:val="24"/>
          <w:lang w:val="uk-UA"/>
        </w:rPr>
        <w:t xml:space="preserve">здійснено видатків 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на соціальний захист та соціальне забезпечення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– 406 613,00</w:t>
      </w:r>
      <w:r w:rsidR="001A4B79">
        <w:rPr>
          <w:rFonts w:ascii="Times New Roman" w:hAnsi="Times New Roman" w:cs="Times New Roman"/>
          <w:sz w:val="24"/>
          <w:szCs w:val="24"/>
          <w:lang w:val="uk-UA"/>
        </w:rPr>
        <w:t xml:space="preserve"> грн.,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 xml:space="preserve">молодіжна політика – 48 000,00 грн., </w:t>
      </w:r>
      <w:r w:rsidR="001A4B79">
        <w:rPr>
          <w:rFonts w:ascii="Times New Roman" w:hAnsi="Times New Roman" w:cs="Times New Roman"/>
          <w:sz w:val="24"/>
          <w:szCs w:val="24"/>
          <w:lang w:val="uk-UA"/>
        </w:rPr>
        <w:t xml:space="preserve">культуру </w:t>
      </w:r>
      <w:r w:rsidR="00CF3AA4">
        <w:rPr>
          <w:rFonts w:ascii="Times New Roman" w:hAnsi="Times New Roman" w:cs="Times New Roman"/>
          <w:sz w:val="24"/>
          <w:szCs w:val="24"/>
          <w:lang w:val="uk-UA"/>
        </w:rPr>
        <w:t xml:space="preserve"> та мистецтво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1A4B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4 643 833,00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CF3AA4">
        <w:rPr>
          <w:rFonts w:ascii="Times New Roman" w:hAnsi="Times New Roman" w:cs="Times New Roman"/>
          <w:sz w:val="24"/>
          <w:szCs w:val="24"/>
          <w:lang w:val="uk-UA"/>
        </w:rPr>
        <w:t>рн., на фізичну культуру і спорт</w:t>
      </w:r>
      <w:r w:rsidR="001A4B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1A4B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317 358,00</w:t>
      </w:r>
      <w:r w:rsidR="00CF3AA4">
        <w:rPr>
          <w:rFonts w:ascii="Times New Roman" w:hAnsi="Times New Roman" w:cs="Times New Roman"/>
          <w:sz w:val="24"/>
          <w:szCs w:val="24"/>
          <w:lang w:val="uk-UA"/>
        </w:rPr>
        <w:t xml:space="preserve"> грн., житлово-комунальне господарство</w:t>
      </w:r>
      <w:r w:rsidR="00D2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D2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1 228 851,00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грн.,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землеустрій – 120 124,00 грн., соціально-</w:t>
      </w:r>
      <w:r w:rsidR="001A1210">
        <w:rPr>
          <w:rFonts w:ascii="Times New Roman" w:hAnsi="Times New Roman" w:cs="Times New Roman"/>
          <w:sz w:val="24"/>
          <w:szCs w:val="24"/>
          <w:lang w:val="uk-UA"/>
        </w:rPr>
        <w:t>економічн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1A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 xml:space="preserve">розвиток території </w:t>
      </w:r>
      <w:r w:rsidR="001A121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2 300,00</w:t>
      </w:r>
      <w:r w:rsidR="001A1210">
        <w:rPr>
          <w:rFonts w:ascii="Times New Roman" w:hAnsi="Times New Roman" w:cs="Times New Roman"/>
          <w:sz w:val="24"/>
          <w:szCs w:val="24"/>
          <w:lang w:val="uk-UA"/>
        </w:rPr>
        <w:t xml:space="preserve"> грн., інш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A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субвенції з місцевого бюджету</w:t>
      </w:r>
      <w:r w:rsidR="00C70A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C70A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F25">
        <w:rPr>
          <w:rFonts w:ascii="Times New Roman" w:hAnsi="Times New Roman" w:cs="Times New Roman"/>
          <w:sz w:val="24"/>
          <w:szCs w:val="24"/>
          <w:lang w:val="uk-UA"/>
        </w:rPr>
        <w:t>2 903 807,00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943F25" w:rsidRPr="003802E2" w:rsidRDefault="00943F25" w:rsidP="00943F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943" w:rsidRDefault="00260943" w:rsidP="00943F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43F25">
        <w:rPr>
          <w:rFonts w:ascii="Times New Roman" w:hAnsi="Times New Roman" w:cs="Times New Roman"/>
          <w:b/>
          <w:sz w:val="24"/>
          <w:szCs w:val="24"/>
          <w:lang w:val="uk-UA"/>
        </w:rPr>
        <w:t>Структура видатків загал</w:t>
      </w:r>
      <w:r w:rsidR="00D25FC1" w:rsidRPr="00943F25">
        <w:rPr>
          <w:rFonts w:ascii="Times New Roman" w:hAnsi="Times New Roman" w:cs="Times New Roman"/>
          <w:b/>
          <w:sz w:val="24"/>
          <w:szCs w:val="24"/>
          <w:lang w:val="uk-UA"/>
        </w:rPr>
        <w:t>ьного фонду бюджету за І півріччя</w:t>
      </w:r>
      <w:r w:rsidRPr="00943F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</w:t>
      </w:r>
      <w:r w:rsidR="00943F25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943F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за </w:t>
      </w:r>
      <w:r w:rsidR="000B532B" w:rsidRPr="00943F25">
        <w:rPr>
          <w:rFonts w:ascii="Times New Roman" w:hAnsi="Times New Roman" w:cs="Times New Roman"/>
          <w:b/>
          <w:sz w:val="24"/>
          <w:szCs w:val="24"/>
          <w:lang w:val="uk-UA"/>
        </w:rPr>
        <w:t>галузевою ознакою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C4E03" w:rsidRPr="003802E2" w:rsidRDefault="00CC4E03" w:rsidP="00943F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0943" w:rsidRDefault="00260943" w:rsidP="00CC4E0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3270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62318" cy="4550055"/>
            <wp:effectExtent l="19050" t="0" r="24232" b="2895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E6570" w:rsidRDefault="007E6570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421FF4" w:rsidRDefault="00421FF4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421FF4" w:rsidRDefault="00421FF4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421FF4" w:rsidRDefault="00421FF4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421FF4" w:rsidRDefault="00421FF4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421FF4" w:rsidRDefault="00421FF4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260943" w:rsidRPr="006A68E1" w:rsidRDefault="00260943" w:rsidP="00260943">
      <w:pPr>
        <w:spacing w:before="240" w:after="100" w:afterAutospacing="1"/>
        <w:ind w:right="-170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6A68E1">
        <w:rPr>
          <w:rFonts w:ascii="Times New Roman" w:hAnsi="Times New Roman" w:cs="Times New Roman"/>
          <w:b/>
          <w:i/>
          <w:sz w:val="26"/>
          <w:szCs w:val="26"/>
          <w:lang w:val="uk-UA"/>
        </w:rPr>
        <w:lastRenderedPageBreak/>
        <w:t>Спеціальний фонд</w:t>
      </w:r>
    </w:p>
    <w:p w:rsidR="00525B72" w:rsidRDefault="00260943" w:rsidP="00923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6DD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>Видатки спеціального фонду бюджету об'єднаної тер</w:t>
      </w:r>
      <w:r w:rsidR="0047175C">
        <w:rPr>
          <w:rFonts w:ascii="Times New Roman" w:hAnsi="Times New Roman" w:cs="Times New Roman"/>
          <w:sz w:val="24"/>
          <w:szCs w:val="24"/>
          <w:lang w:val="uk-UA"/>
        </w:rPr>
        <w:t>иторіальної громади за І півріччя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47175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47175C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виконано в сумі 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>799 897,00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>,  що становить 34,68</w:t>
      </w:r>
      <w:r w:rsidRPr="003802E2">
        <w:rPr>
          <w:rFonts w:ascii="Times New Roman" w:hAnsi="Times New Roman" w:cs="Times New Roman"/>
          <w:sz w:val="24"/>
          <w:szCs w:val="24"/>
          <w:lang w:val="uk-UA"/>
        </w:rPr>
        <w:t>% до у</w:t>
      </w:r>
      <w:r w:rsidR="008A3B06">
        <w:rPr>
          <w:rFonts w:ascii="Times New Roman" w:hAnsi="Times New Roman" w:cs="Times New Roman"/>
          <w:sz w:val="24"/>
          <w:szCs w:val="24"/>
          <w:lang w:val="uk-UA"/>
        </w:rPr>
        <w:t>точнених призначень за І півріччя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525B72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="00525B72"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A080F" w:rsidRPr="003802E2" w:rsidRDefault="00260943" w:rsidP="00A7306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Кошти спеціального фонду спрямовано </w:t>
      </w:r>
      <w:r w:rsidR="001A080F">
        <w:rPr>
          <w:rFonts w:ascii="Times New Roman" w:hAnsi="Times New Roman" w:cs="Times New Roman"/>
          <w:sz w:val="24"/>
          <w:szCs w:val="24"/>
          <w:lang w:val="uk-UA"/>
        </w:rPr>
        <w:t xml:space="preserve">за галузевою ознакою на державне управління в обсязі 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>– 9 738,00</w:t>
      </w:r>
      <w:r w:rsidR="001A080F">
        <w:rPr>
          <w:rFonts w:ascii="Times New Roman" w:hAnsi="Times New Roman" w:cs="Times New Roman"/>
          <w:sz w:val="24"/>
          <w:szCs w:val="24"/>
          <w:lang w:val="uk-UA"/>
        </w:rPr>
        <w:t xml:space="preserve"> грн.,</w:t>
      </w:r>
      <w:r w:rsidR="009626F6">
        <w:rPr>
          <w:rFonts w:ascii="Times New Roman" w:hAnsi="Times New Roman" w:cs="Times New Roman"/>
          <w:sz w:val="24"/>
          <w:szCs w:val="24"/>
          <w:lang w:val="uk-UA"/>
        </w:rPr>
        <w:t xml:space="preserve"> на освіту 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9626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3061">
        <w:rPr>
          <w:rFonts w:ascii="Times New Roman" w:hAnsi="Times New Roman" w:cs="Times New Roman"/>
          <w:sz w:val="24"/>
          <w:szCs w:val="24"/>
          <w:lang w:val="uk-UA"/>
        </w:rPr>
        <w:t>790 159,00</w:t>
      </w:r>
      <w:r w:rsidR="009626F6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1A080F" w:rsidRPr="003802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5B72" w:rsidRPr="00A73061" w:rsidRDefault="00260943" w:rsidP="00A73061">
      <w:pPr>
        <w:spacing w:before="240" w:after="100" w:afterAutospacing="1" w:line="240" w:lineRule="auto"/>
        <w:ind w:right="-170"/>
        <w:jc w:val="center"/>
        <w:rPr>
          <w:rFonts w:ascii="Times New Roman" w:hAnsi="Times New Roman" w:cs="Times New Roman"/>
          <w:b/>
          <w:noProof/>
          <w:sz w:val="26"/>
          <w:szCs w:val="26"/>
          <w:lang w:val="uk-UA"/>
        </w:rPr>
      </w:pPr>
      <w:r w:rsidRPr="00A73061">
        <w:rPr>
          <w:rFonts w:ascii="Times New Roman" w:hAnsi="Times New Roman" w:cs="Times New Roman"/>
          <w:b/>
          <w:sz w:val="24"/>
          <w:szCs w:val="24"/>
          <w:lang w:val="uk-UA"/>
        </w:rPr>
        <w:t>Структура видатків спеціаль</w:t>
      </w:r>
      <w:r w:rsidR="002F3BD0" w:rsidRPr="00A73061">
        <w:rPr>
          <w:rFonts w:ascii="Times New Roman" w:hAnsi="Times New Roman" w:cs="Times New Roman"/>
          <w:b/>
          <w:sz w:val="24"/>
          <w:szCs w:val="24"/>
          <w:lang w:val="uk-UA"/>
        </w:rPr>
        <w:t>ного фонду бюджету за І півріччя</w:t>
      </w:r>
      <w:r w:rsidRPr="00A730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</w:t>
      </w:r>
      <w:r w:rsidR="00A73061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A730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за </w:t>
      </w:r>
      <w:r w:rsidR="009626F6" w:rsidRPr="00A73061">
        <w:rPr>
          <w:rFonts w:ascii="Times New Roman" w:hAnsi="Times New Roman" w:cs="Times New Roman"/>
          <w:b/>
          <w:sz w:val="24"/>
          <w:szCs w:val="24"/>
          <w:lang w:val="uk-UA"/>
        </w:rPr>
        <w:t>галузевою ознакою</w:t>
      </w:r>
      <w:r w:rsidRPr="00A7306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260943" w:rsidRDefault="00260943" w:rsidP="00A73061">
      <w:pPr>
        <w:spacing w:before="240" w:after="100" w:afterAutospacing="1" w:line="240" w:lineRule="auto"/>
        <w:ind w:right="-17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A36DD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102833" cy="2670048"/>
            <wp:effectExtent l="19050" t="0" r="12217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96712" w:rsidRDefault="00260943" w:rsidP="0061504D">
      <w:pPr>
        <w:spacing w:before="240" w:after="100" w:afterAutospacing="1" w:line="240" w:lineRule="auto"/>
        <w:ind w:right="-1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02E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96712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відділу</w:t>
      </w:r>
    </w:p>
    <w:p w:rsidR="00260943" w:rsidRPr="00260943" w:rsidRDefault="00596712" w:rsidP="0061504D">
      <w:pPr>
        <w:spacing w:before="240" w:after="100" w:afterAutospacing="1" w:line="240" w:lineRule="auto"/>
        <w:ind w:right="-1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Ольгинської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СВЦА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Лариса КОВАЛЕНКО</w:t>
      </w:r>
    </w:p>
    <w:sectPr w:rsidR="00260943" w:rsidRPr="00260943" w:rsidSect="00241B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05A8"/>
    <w:rsid w:val="00002552"/>
    <w:rsid w:val="00023D24"/>
    <w:rsid w:val="00025318"/>
    <w:rsid w:val="00031D5E"/>
    <w:rsid w:val="000501EF"/>
    <w:rsid w:val="00053119"/>
    <w:rsid w:val="0005503C"/>
    <w:rsid w:val="00066ACC"/>
    <w:rsid w:val="00086002"/>
    <w:rsid w:val="000871E3"/>
    <w:rsid w:val="00087DC3"/>
    <w:rsid w:val="000A0BE9"/>
    <w:rsid w:val="000A30DE"/>
    <w:rsid w:val="000B3520"/>
    <w:rsid w:val="000B532B"/>
    <w:rsid w:val="000C3929"/>
    <w:rsid w:val="000D3BD1"/>
    <w:rsid w:val="000D4B1B"/>
    <w:rsid w:val="000E0981"/>
    <w:rsid w:val="000F421E"/>
    <w:rsid w:val="000F550E"/>
    <w:rsid w:val="00103161"/>
    <w:rsid w:val="0014136A"/>
    <w:rsid w:val="00154CF3"/>
    <w:rsid w:val="001663EC"/>
    <w:rsid w:val="001722E0"/>
    <w:rsid w:val="001A080F"/>
    <w:rsid w:val="001A1143"/>
    <w:rsid w:val="001A1210"/>
    <w:rsid w:val="001A2ED9"/>
    <w:rsid w:val="001A4B79"/>
    <w:rsid w:val="001A6399"/>
    <w:rsid w:val="001A6EA7"/>
    <w:rsid w:val="001A6F5D"/>
    <w:rsid w:val="001B1EA3"/>
    <w:rsid w:val="001B69DF"/>
    <w:rsid w:val="001E5351"/>
    <w:rsid w:val="001F57A2"/>
    <w:rsid w:val="002166B1"/>
    <w:rsid w:val="00224C4A"/>
    <w:rsid w:val="00232E04"/>
    <w:rsid w:val="00233041"/>
    <w:rsid w:val="00235193"/>
    <w:rsid w:val="00241BE9"/>
    <w:rsid w:val="00252FD2"/>
    <w:rsid w:val="00254565"/>
    <w:rsid w:val="002572EF"/>
    <w:rsid w:val="00260943"/>
    <w:rsid w:val="0028189F"/>
    <w:rsid w:val="0028390F"/>
    <w:rsid w:val="00290ECF"/>
    <w:rsid w:val="002928CF"/>
    <w:rsid w:val="002A6716"/>
    <w:rsid w:val="002B2374"/>
    <w:rsid w:val="002B4B50"/>
    <w:rsid w:val="002B5A4C"/>
    <w:rsid w:val="002E5F6B"/>
    <w:rsid w:val="002F3BD0"/>
    <w:rsid w:val="003141E0"/>
    <w:rsid w:val="00316266"/>
    <w:rsid w:val="003171A7"/>
    <w:rsid w:val="00332086"/>
    <w:rsid w:val="00332701"/>
    <w:rsid w:val="00333D15"/>
    <w:rsid w:val="003445A1"/>
    <w:rsid w:val="00364E3A"/>
    <w:rsid w:val="00370723"/>
    <w:rsid w:val="00375CF4"/>
    <w:rsid w:val="003802E2"/>
    <w:rsid w:val="00380CF2"/>
    <w:rsid w:val="00395D18"/>
    <w:rsid w:val="003979E1"/>
    <w:rsid w:val="003A25F2"/>
    <w:rsid w:val="003A2C09"/>
    <w:rsid w:val="003A7FEC"/>
    <w:rsid w:val="003B4117"/>
    <w:rsid w:val="003D53A0"/>
    <w:rsid w:val="003F0DCA"/>
    <w:rsid w:val="00421CDA"/>
    <w:rsid w:val="00421FF4"/>
    <w:rsid w:val="004232BA"/>
    <w:rsid w:val="004405A3"/>
    <w:rsid w:val="00441605"/>
    <w:rsid w:val="0047175C"/>
    <w:rsid w:val="00482245"/>
    <w:rsid w:val="00483249"/>
    <w:rsid w:val="0048384E"/>
    <w:rsid w:val="00484ED2"/>
    <w:rsid w:val="004902A8"/>
    <w:rsid w:val="0049715E"/>
    <w:rsid w:val="004B22A2"/>
    <w:rsid w:val="004B3202"/>
    <w:rsid w:val="004B3444"/>
    <w:rsid w:val="004F5521"/>
    <w:rsid w:val="00521261"/>
    <w:rsid w:val="00525B72"/>
    <w:rsid w:val="005379F6"/>
    <w:rsid w:val="0055083A"/>
    <w:rsid w:val="00557B17"/>
    <w:rsid w:val="00565158"/>
    <w:rsid w:val="005671CE"/>
    <w:rsid w:val="0057389E"/>
    <w:rsid w:val="0057784B"/>
    <w:rsid w:val="00596712"/>
    <w:rsid w:val="005A45DC"/>
    <w:rsid w:val="005B1326"/>
    <w:rsid w:val="005D0D5A"/>
    <w:rsid w:val="005D2912"/>
    <w:rsid w:val="005D2BFB"/>
    <w:rsid w:val="005E5004"/>
    <w:rsid w:val="00600CC6"/>
    <w:rsid w:val="00610350"/>
    <w:rsid w:val="0061504D"/>
    <w:rsid w:val="006206A7"/>
    <w:rsid w:val="00625633"/>
    <w:rsid w:val="00631346"/>
    <w:rsid w:val="006369A3"/>
    <w:rsid w:val="00643C5D"/>
    <w:rsid w:val="006511BE"/>
    <w:rsid w:val="006513B9"/>
    <w:rsid w:val="00655431"/>
    <w:rsid w:val="006620ED"/>
    <w:rsid w:val="006858D6"/>
    <w:rsid w:val="00687605"/>
    <w:rsid w:val="006905A8"/>
    <w:rsid w:val="006A637A"/>
    <w:rsid w:val="006A68E1"/>
    <w:rsid w:val="006A6DAC"/>
    <w:rsid w:val="006B4364"/>
    <w:rsid w:val="006B61F5"/>
    <w:rsid w:val="006C61DF"/>
    <w:rsid w:val="007122FE"/>
    <w:rsid w:val="0074410B"/>
    <w:rsid w:val="00764C4F"/>
    <w:rsid w:val="007769DD"/>
    <w:rsid w:val="00785BA5"/>
    <w:rsid w:val="00791D08"/>
    <w:rsid w:val="007933FE"/>
    <w:rsid w:val="007B2C2D"/>
    <w:rsid w:val="007C7682"/>
    <w:rsid w:val="007D261F"/>
    <w:rsid w:val="007D5ACC"/>
    <w:rsid w:val="007E5989"/>
    <w:rsid w:val="007E6570"/>
    <w:rsid w:val="008046D0"/>
    <w:rsid w:val="0082722C"/>
    <w:rsid w:val="00837E44"/>
    <w:rsid w:val="0085603D"/>
    <w:rsid w:val="00865406"/>
    <w:rsid w:val="0087229D"/>
    <w:rsid w:val="00873E3F"/>
    <w:rsid w:val="00874270"/>
    <w:rsid w:val="008814EB"/>
    <w:rsid w:val="008846B8"/>
    <w:rsid w:val="008865E6"/>
    <w:rsid w:val="008A1828"/>
    <w:rsid w:val="008A3B06"/>
    <w:rsid w:val="008C7AF9"/>
    <w:rsid w:val="008E73BF"/>
    <w:rsid w:val="00902A8B"/>
    <w:rsid w:val="00906694"/>
    <w:rsid w:val="0092330E"/>
    <w:rsid w:val="00943F25"/>
    <w:rsid w:val="00952653"/>
    <w:rsid w:val="009567BC"/>
    <w:rsid w:val="00961766"/>
    <w:rsid w:val="009626F6"/>
    <w:rsid w:val="00986F74"/>
    <w:rsid w:val="00990202"/>
    <w:rsid w:val="009A11C7"/>
    <w:rsid w:val="009A3EE0"/>
    <w:rsid w:val="009B318F"/>
    <w:rsid w:val="009B5C98"/>
    <w:rsid w:val="009B74F5"/>
    <w:rsid w:val="009C59D2"/>
    <w:rsid w:val="009C7999"/>
    <w:rsid w:val="009D2CD5"/>
    <w:rsid w:val="00A07C5D"/>
    <w:rsid w:val="00A12935"/>
    <w:rsid w:val="00A36DD5"/>
    <w:rsid w:val="00A3768C"/>
    <w:rsid w:val="00A41B4E"/>
    <w:rsid w:val="00A41DC8"/>
    <w:rsid w:val="00A56417"/>
    <w:rsid w:val="00A73061"/>
    <w:rsid w:val="00A81530"/>
    <w:rsid w:val="00AA6CF1"/>
    <w:rsid w:val="00AA7BDA"/>
    <w:rsid w:val="00AB5740"/>
    <w:rsid w:val="00AD26FD"/>
    <w:rsid w:val="00AD7FD9"/>
    <w:rsid w:val="00AE1C5A"/>
    <w:rsid w:val="00AE58BB"/>
    <w:rsid w:val="00B05E9C"/>
    <w:rsid w:val="00B21745"/>
    <w:rsid w:val="00B25A9A"/>
    <w:rsid w:val="00B268C0"/>
    <w:rsid w:val="00B27EA2"/>
    <w:rsid w:val="00B33479"/>
    <w:rsid w:val="00B44C93"/>
    <w:rsid w:val="00B456F0"/>
    <w:rsid w:val="00B54600"/>
    <w:rsid w:val="00BA7671"/>
    <w:rsid w:val="00BE748A"/>
    <w:rsid w:val="00BF47D8"/>
    <w:rsid w:val="00C04E35"/>
    <w:rsid w:val="00C35F63"/>
    <w:rsid w:val="00C40169"/>
    <w:rsid w:val="00C413BF"/>
    <w:rsid w:val="00C45177"/>
    <w:rsid w:val="00C5057E"/>
    <w:rsid w:val="00C51828"/>
    <w:rsid w:val="00C63574"/>
    <w:rsid w:val="00C67368"/>
    <w:rsid w:val="00C70A31"/>
    <w:rsid w:val="00C935BE"/>
    <w:rsid w:val="00C9777D"/>
    <w:rsid w:val="00CA3949"/>
    <w:rsid w:val="00CB7C5E"/>
    <w:rsid w:val="00CC4128"/>
    <w:rsid w:val="00CC4E03"/>
    <w:rsid w:val="00CC727D"/>
    <w:rsid w:val="00CD233B"/>
    <w:rsid w:val="00CD3366"/>
    <w:rsid w:val="00CF3AA4"/>
    <w:rsid w:val="00D02B74"/>
    <w:rsid w:val="00D02D36"/>
    <w:rsid w:val="00D1684B"/>
    <w:rsid w:val="00D25725"/>
    <w:rsid w:val="00D25FC1"/>
    <w:rsid w:val="00D27A55"/>
    <w:rsid w:val="00D310D6"/>
    <w:rsid w:val="00D318EF"/>
    <w:rsid w:val="00D374EB"/>
    <w:rsid w:val="00D4132B"/>
    <w:rsid w:val="00D53C70"/>
    <w:rsid w:val="00D6034C"/>
    <w:rsid w:val="00D6257C"/>
    <w:rsid w:val="00D67A0F"/>
    <w:rsid w:val="00D709B4"/>
    <w:rsid w:val="00D82196"/>
    <w:rsid w:val="00D91748"/>
    <w:rsid w:val="00D93866"/>
    <w:rsid w:val="00D95514"/>
    <w:rsid w:val="00DE17C2"/>
    <w:rsid w:val="00DE5773"/>
    <w:rsid w:val="00DF15BC"/>
    <w:rsid w:val="00DF474D"/>
    <w:rsid w:val="00DF47FA"/>
    <w:rsid w:val="00DF6C28"/>
    <w:rsid w:val="00E1126E"/>
    <w:rsid w:val="00E13ED9"/>
    <w:rsid w:val="00E36464"/>
    <w:rsid w:val="00E36949"/>
    <w:rsid w:val="00E3694D"/>
    <w:rsid w:val="00E60591"/>
    <w:rsid w:val="00E61E4C"/>
    <w:rsid w:val="00E8005E"/>
    <w:rsid w:val="00EB318E"/>
    <w:rsid w:val="00EB4C20"/>
    <w:rsid w:val="00EB5935"/>
    <w:rsid w:val="00ED68BA"/>
    <w:rsid w:val="00EE2E1F"/>
    <w:rsid w:val="00EE49CE"/>
    <w:rsid w:val="00EF6E4E"/>
    <w:rsid w:val="00F12E58"/>
    <w:rsid w:val="00F175A8"/>
    <w:rsid w:val="00F21AE7"/>
    <w:rsid w:val="00F22C0B"/>
    <w:rsid w:val="00F24D70"/>
    <w:rsid w:val="00F34793"/>
    <w:rsid w:val="00F43002"/>
    <w:rsid w:val="00F43B60"/>
    <w:rsid w:val="00F57415"/>
    <w:rsid w:val="00F66BD1"/>
    <w:rsid w:val="00F700C5"/>
    <w:rsid w:val="00F7429B"/>
    <w:rsid w:val="00F7484C"/>
    <w:rsid w:val="00F84A15"/>
    <w:rsid w:val="00FA7948"/>
    <w:rsid w:val="00FD165C"/>
    <w:rsid w:val="00FF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7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41B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microsoft.com/office/2007/relationships/stylesWithEffects" Target="stylesWithEffects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Доходи</c:v>
                </c:pt>
              </c:strCache>
            </c:strRef>
          </c:tx>
          <c:explosion val="25"/>
          <c:cat>
            <c:strRef>
              <c:f>Лист1!$A$2:$A$19</c:f>
              <c:strCache>
                <c:ptCount val="18"/>
                <c:pt idx="0">
                  <c:v>Податок та збір на доходи ф. о.           37 657 906 грн</c:v>
                </c:pt>
                <c:pt idx="1">
                  <c:v>Податок на прибуток підприємств 6 500,00 грн</c:v>
                </c:pt>
                <c:pt idx="2">
                  <c:v>Рентна плата за спеціальне використання лісових ресурсів  14 132,00 грн</c:v>
                </c:pt>
                <c:pt idx="3">
                  <c:v>Рентна плата за користування надрами  1 177 911,00 грн</c:v>
                </c:pt>
                <c:pt idx="4">
                  <c:v>Акцизний под. з ввезених на мит.тер.Ук.підак.тов.(пальне)        133 211,00 грн</c:v>
                </c:pt>
                <c:pt idx="5">
                  <c:v>Акцизний под.з реалізації суб'єктами господ.розд.торг.підак.тов.       452 409,00 грн</c:v>
                </c:pt>
                <c:pt idx="6">
                  <c:v>Акцизний под.з реал.суб'єктами господ.розд.тов.підак.тов.  318 632,00 грн</c:v>
                </c:pt>
                <c:pt idx="7">
                  <c:v>Податок на майно  5 187 734,00 грн</c:v>
                </c:pt>
                <c:pt idx="8">
                  <c:v>Єдиний податок  3 247 913,00 грн</c:v>
                </c:pt>
                <c:pt idx="9">
                  <c:v>Інші надходження   9 590,00 грн</c:v>
                </c:pt>
                <c:pt idx="10">
                  <c:v>Плата за надан.адмін.послуг  3 368,00 грн</c:v>
                </c:pt>
                <c:pt idx="11">
                  <c:v>Надход.від оренд.плати за корис.цілісним майнов.комплексом  16 131,00 грн</c:v>
                </c:pt>
                <c:pt idx="12">
                  <c:v>Державне мито  3 124,00 грн</c:v>
                </c:pt>
                <c:pt idx="13">
                  <c:v>Інші неподаткові надходження   134 455,00 грн</c:v>
                </c:pt>
                <c:pt idx="14">
                  <c:v>Базова дотація  1 990 200,00 грн</c:v>
                </c:pt>
                <c:pt idx="15">
                  <c:v>Освітня субвенція з державного бюджету  20 769 900,00 грн</c:v>
                </c:pt>
                <c:pt idx="16">
                  <c:v>Дотація з місцев.бюджету на утрим.закладів освіти та охорони здоров'я  87 300,00 грн</c:v>
                </c:pt>
                <c:pt idx="17">
                  <c:v>Субвенція з місцевих бюджетів іншим місцевим бюджетам  536 503,00 грн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37657906</c:v>
                </c:pt>
                <c:pt idx="1">
                  <c:v>6500</c:v>
                </c:pt>
                <c:pt idx="2">
                  <c:v>14132</c:v>
                </c:pt>
                <c:pt idx="3">
                  <c:v>1177911</c:v>
                </c:pt>
                <c:pt idx="4">
                  <c:v>133211</c:v>
                </c:pt>
                <c:pt idx="5">
                  <c:v>452409</c:v>
                </c:pt>
                <c:pt idx="6">
                  <c:v>318632</c:v>
                </c:pt>
                <c:pt idx="7">
                  <c:v>5187734</c:v>
                </c:pt>
                <c:pt idx="8">
                  <c:v>3247913</c:v>
                </c:pt>
                <c:pt idx="9">
                  <c:v>9590</c:v>
                </c:pt>
                <c:pt idx="10">
                  <c:v>3368</c:v>
                </c:pt>
                <c:pt idx="11">
                  <c:v>16131</c:v>
                </c:pt>
                <c:pt idx="12">
                  <c:v>3124</c:v>
                </c:pt>
                <c:pt idx="13">
                  <c:v>134455</c:v>
                </c:pt>
                <c:pt idx="14">
                  <c:v>1990200</c:v>
                </c:pt>
                <c:pt idx="15">
                  <c:v>20769900</c:v>
                </c:pt>
                <c:pt idx="16">
                  <c:v>87300</c:v>
                </c:pt>
                <c:pt idx="17">
                  <c:v>536503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cat>
            <c:strRef>
              <c:f>Лист1!$A$2:$A$19</c:f>
              <c:strCache>
                <c:ptCount val="18"/>
                <c:pt idx="0">
                  <c:v>Податок та збір на доходи ф. о.           37 657 906 грн</c:v>
                </c:pt>
                <c:pt idx="1">
                  <c:v>Податок на прибуток підприємств 6 500,00 грн</c:v>
                </c:pt>
                <c:pt idx="2">
                  <c:v>Рентна плата за спеціальне використання лісових ресурсів  14 132,00 грн</c:v>
                </c:pt>
                <c:pt idx="3">
                  <c:v>Рентна плата за користування надрами  1 177 911,00 грн</c:v>
                </c:pt>
                <c:pt idx="4">
                  <c:v>Акцизний под. з ввезених на мит.тер.Ук.підак.тов.(пальне)        133 211,00 грн</c:v>
                </c:pt>
                <c:pt idx="5">
                  <c:v>Акцизний под.з реалізації суб'єктами господ.розд.торг.підак.тов.       452 409,00 грн</c:v>
                </c:pt>
                <c:pt idx="6">
                  <c:v>Акцизний под.з реал.суб'єктами господ.розд.тов.підак.тов.  318 632,00 грн</c:v>
                </c:pt>
                <c:pt idx="7">
                  <c:v>Податок на майно  5 187 734,00 грн</c:v>
                </c:pt>
                <c:pt idx="8">
                  <c:v>Єдиний податок  3 247 913,00 грн</c:v>
                </c:pt>
                <c:pt idx="9">
                  <c:v>Інші надходження   9 590,00 грн</c:v>
                </c:pt>
                <c:pt idx="10">
                  <c:v>Плата за надан.адмін.послуг  3 368,00 грн</c:v>
                </c:pt>
                <c:pt idx="11">
                  <c:v>Надход.від оренд.плати за корис.цілісним майнов.комплексом  16 131,00 грн</c:v>
                </c:pt>
                <c:pt idx="12">
                  <c:v>Державне мито  3 124,00 грн</c:v>
                </c:pt>
                <c:pt idx="13">
                  <c:v>Інші неподаткові надходження   134 455,00 грн</c:v>
                </c:pt>
                <c:pt idx="14">
                  <c:v>Базова дотація  1 990 200,00 грн</c:v>
                </c:pt>
                <c:pt idx="15">
                  <c:v>Освітня субвенція з державного бюджету  20 769 900,00 грн</c:v>
                </c:pt>
                <c:pt idx="16">
                  <c:v>Дотація з місцев.бюджету на утрим.закладів освіти та охорони здоров'я  87 300,00 грн</c:v>
                </c:pt>
                <c:pt idx="17">
                  <c:v>Субвенція з місцевих бюджетів іншим місцевим бюджетам  536 503,00 грн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Лист1!$A$2:$A$19</c:f>
              <c:strCache>
                <c:ptCount val="18"/>
                <c:pt idx="0">
                  <c:v>Податок та збір на доходи ф. о.           37 657 906 грн</c:v>
                </c:pt>
                <c:pt idx="1">
                  <c:v>Податок на прибуток підприємств 6 500,00 грн</c:v>
                </c:pt>
                <c:pt idx="2">
                  <c:v>Рентна плата за спеціальне використання лісових ресурсів  14 132,00 грн</c:v>
                </c:pt>
                <c:pt idx="3">
                  <c:v>Рентна плата за користування надрами  1 177 911,00 грн</c:v>
                </c:pt>
                <c:pt idx="4">
                  <c:v>Акцизний под. з ввезених на мит.тер.Ук.підак.тов.(пальне)        133 211,00 грн</c:v>
                </c:pt>
                <c:pt idx="5">
                  <c:v>Акцизний под.з реалізації суб'єктами господ.розд.торг.підак.тов.       452 409,00 грн</c:v>
                </c:pt>
                <c:pt idx="6">
                  <c:v>Акцизний под.з реал.суб'єктами господ.розд.тов.підак.тов.  318 632,00 грн</c:v>
                </c:pt>
                <c:pt idx="7">
                  <c:v>Податок на майно  5 187 734,00 грн</c:v>
                </c:pt>
                <c:pt idx="8">
                  <c:v>Єдиний податок  3 247 913,00 грн</c:v>
                </c:pt>
                <c:pt idx="9">
                  <c:v>Інші надходження   9 590,00 грн</c:v>
                </c:pt>
                <c:pt idx="10">
                  <c:v>Плата за надан.адмін.послуг  3 368,00 грн</c:v>
                </c:pt>
                <c:pt idx="11">
                  <c:v>Надход.від оренд.плати за корис.цілісним майнов.комплексом  16 131,00 грн</c:v>
                </c:pt>
                <c:pt idx="12">
                  <c:v>Державне мито  3 124,00 грн</c:v>
                </c:pt>
                <c:pt idx="13">
                  <c:v>Інші неподаткові надходження   134 455,00 грн</c:v>
                </c:pt>
                <c:pt idx="14">
                  <c:v>Базова дотація  1 990 200,00 грн</c:v>
                </c:pt>
                <c:pt idx="15">
                  <c:v>Освітня субвенція з державного бюджету  20 769 900,00 грн</c:v>
                </c:pt>
                <c:pt idx="16">
                  <c:v>Дотація з місцев.бюджету на утрим.закладів освіти та охорони здоров'я  87 300,00 грн</c:v>
                </c:pt>
                <c:pt idx="17">
                  <c:v>Субвенція з місцевих бюджетів іншим місцевим бюджетам  536 503,00 грн</c:v>
                </c:pt>
              </c:strCache>
            </c:strRef>
          </c:cat>
          <c:val>
            <c:numRef>
              <c:f>Лист1!$D$2:$D$19</c:f>
              <c:numCache>
                <c:formatCode>General</c:formatCode>
                <c:ptCount val="18"/>
              </c:numCache>
            </c:numRef>
          </c:val>
        </c:ser>
      </c:pie3DChart>
    </c:plotArea>
    <c:legend>
      <c:legendPos val="b"/>
      <c:layout>
        <c:manualLayout>
          <c:xMode val="edge"/>
          <c:yMode val="edge"/>
          <c:x val="0.15475208801441992"/>
          <c:y val="0.43863886074519137"/>
          <c:w val="0.7674703655963977"/>
          <c:h val="0.54364572140110956"/>
        </c:manualLayout>
      </c:layout>
      <c:txPr>
        <a:bodyPr/>
        <a:lstStyle/>
        <a:p>
          <a:pPr>
            <a:defRPr sz="900" b="1"/>
          </a:pPr>
          <a:endParaRPr lang="ru-RU"/>
        </a:p>
      </c:txPr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/>
              <a:t>Спеціальний фонд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4.9129733813344532E-2"/>
          <c:y val="9.0477019699533992E-2"/>
          <c:w val="0.52956419214401051"/>
          <c:h val="0.785868995313813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Спеціальний фонд</c:v>
                </c:pt>
              </c:strCache>
            </c:strRef>
          </c:tx>
          <c:dLbls>
            <c:txPr>
              <a:bodyPr/>
              <a:lstStyle/>
              <a:p>
                <a:pPr>
                  <a:defRPr sz="700" baseline="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Екологічний податок 600 192,00 грн.</c:v>
                </c:pt>
                <c:pt idx="1">
                  <c:v> Надходження від плати за послуги, що надаються бюджетними установами згідно із законодавством 190 219,00 грн. </c:v>
                </c:pt>
                <c:pt idx="2">
                  <c:v>Інші джерела власних надходжень бюджетних установ 758 727,00 грн.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0.39000000000000096</c:v>
                </c:pt>
                <c:pt idx="1">
                  <c:v>0.11</c:v>
                </c:pt>
                <c:pt idx="2">
                  <c:v>0.5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"/>
          <c:y val="0.78664712941287762"/>
          <c:w val="0.74118532862807374"/>
          <c:h val="0.21322478975038084"/>
        </c:manualLayout>
      </c:layout>
      <c:txPr>
        <a:bodyPr/>
        <a:lstStyle/>
        <a:p>
          <a:pPr>
            <a:defRPr sz="900" b="1" kern="1200" spc="0" baseline="0"/>
          </a:pPr>
          <a:endParaRPr lang="ru-RU"/>
        </a:p>
      </c:txPr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Pr>
        <a:bodyPr/>
        <a:lstStyle/>
        <a:p>
          <a:pPr>
            <a:defRPr sz="1000"/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1.0041590954976779E-2"/>
          <c:y val="9.752900737595335E-4"/>
          <c:w val="0.46673838077932567"/>
          <c:h val="0.70504074631120561"/>
        </c:manualLayout>
      </c:layout>
      <c:pie3DChart>
        <c:varyColors val="1"/>
        <c:ser>
          <c:idx val="0"/>
          <c:order val="0"/>
          <c:tx>
            <c:strRef>
              <c:f>Лист1!$B$5</c:f>
              <c:strCache>
                <c:ptCount val="1"/>
                <c:pt idx="0">
                  <c:v>Загальний фонд</c:v>
                </c:pt>
              </c:strCache>
            </c:strRef>
          </c:tx>
          <c:dLbls>
            <c:dLbl>
              <c:idx val="0"/>
              <c:dLblPos val="bestFit"/>
              <c:showLegendKey val="1"/>
              <c:showPercent val="1"/>
              <c:separator>
</c:separator>
            </c:dLbl>
            <c:dLbl>
              <c:idx val="1"/>
              <c:dLblPos val="bestFit"/>
              <c:showLegendKey val="1"/>
              <c:showPercent val="1"/>
              <c:separator>
</c:separator>
            </c:dLbl>
            <c:dLbl>
              <c:idx val="2"/>
              <c:dLblPos val="bestFit"/>
              <c:showLegendKey val="1"/>
              <c:showPercent val="1"/>
              <c:separator>
</c:separator>
            </c:dLbl>
            <c:dLbl>
              <c:idx val="4"/>
              <c:dLblPos val="bestFit"/>
              <c:showLegendKey val="1"/>
              <c:showPercent val="1"/>
              <c:separator>
</c:separator>
            </c:dLbl>
            <c:dLbl>
              <c:idx val="5"/>
              <c:dLblPos val="bestFit"/>
              <c:showLegendKey val="1"/>
              <c:showPercent val="1"/>
              <c:separator>
</c:separator>
            </c:dLbl>
            <c:dLbl>
              <c:idx val="6"/>
              <c:dLblPos val="bestFit"/>
              <c:showLegendKey val="1"/>
              <c:showPercent val="1"/>
              <c:separator>
</c:separator>
            </c:dLbl>
            <c:dLbl>
              <c:idx val="7"/>
              <c:dLblPos val="bestFit"/>
              <c:showLegendKey val="1"/>
              <c:showPercent val="1"/>
              <c:separator>
</c:separator>
            </c:dLbl>
            <c:dLbl>
              <c:idx val="8"/>
              <c:dLblPos val="bestFit"/>
              <c:showLegendKey val="1"/>
              <c:showPercent val="1"/>
              <c:separator>
</c:separator>
            </c:dLbl>
            <c:numFmt formatCode="0.0%" sourceLinked="0"/>
            <c:showLegendKey val="1"/>
            <c:showPercent val="1"/>
            <c:separator>
</c:separator>
          </c:dLbls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Лист1!$B$6:$B$15</c:f>
              <c:numCache>
                <c:formatCode>General</c:formatCode>
                <c:ptCount val="10"/>
                <c:pt idx="0">
                  <c:v>8458181</c:v>
                </c:pt>
                <c:pt idx="1">
                  <c:v>39692756</c:v>
                </c:pt>
                <c:pt idx="2">
                  <c:v>406613</c:v>
                </c:pt>
                <c:pt idx="3">
                  <c:v>48000</c:v>
                </c:pt>
                <c:pt idx="4">
                  <c:v>4643833</c:v>
                </c:pt>
                <c:pt idx="5">
                  <c:v>317358</c:v>
                </c:pt>
                <c:pt idx="6">
                  <c:v>1228851</c:v>
                </c:pt>
                <c:pt idx="7">
                  <c:v>120124</c:v>
                </c:pt>
                <c:pt idx="8">
                  <c:v>2300</c:v>
                </c:pt>
                <c:pt idx="9">
                  <c:v>2903807</c:v>
                </c:pt>
              </c:numCache>
            </c:numRef>
          </c:val>
        </c:ser>
        <c:ser>
          <c:idx val="1"/>
          <c:order val="1"/>
          <c:tx>
            <c:strRef>
              <c:f>Лист1!$C$5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Лист1!$C$6:$C$15</c:f>
              <c:numCache>
                <c:formatCode>General</c:formatCode>
                <c:ptCount val="10"/>
              </c:numCache>
            </c:numRef>
          </c:val>
        </c:ser>
        <c:ser>
          <c:idx val="2"/>
          <c:order val="2"/>
          <c:tx>
            <c:strRef>
              <c:f>Лист1!$D$5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Лист1!$D$6:$D$15</c:f>
              <c:numCache>
                <c:formatCode>General</c:formatCode>
                <c:ptCount val="10"/>
              </c:numCache>
            </c:numRef>
          </c:val>
        </c:ser>
        <c:ser>
          <c:idx val="3"/>
          <c:order val="3"/>
          <c:tx>
            <c:strRef>
              <c:f>Лист1!$E$5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Лист1!$E$6:$E$15</c:f>
              <c:numCache>
                <c:formatCode>General</c:formatCode>
                <c:ptCount val="10"/>
              </c:numCache>
            </c:numRef>
          </c:val>
        </c:ser>
        <c:ser>
          <c:idx val="4"/>
          <c:order val="4"/>
          <c:tx>
            <c:strRef>
              <c:f>Лист1!$F$5</c:f>
              <c:strCache>
                <c:ptCount val="1"/>
                <c:pt idx="0">
                  <c:v>Столбец4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Лист1!$F$6:$F$15</c:f>
              <c:numCache>
                <c:formatCode>General</c:formatCode>
                <c:ptCount val="10"/>
              </c:numCache>
            </c:numRef>
          </c:val>
        </c:ser>
        <c:ser>
          <c:idx val="5"/>
          <c:order val="5"/>
          <c:tx>
            <c:strRef>
              <c:f>Лист1!$G$5</c:f>
              <c:strCache>
                <c:ptCount val="1"/>
                <c:pt idx="0">
                  <c:v>Столбец5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Лист1!$G$6:$G$15</c:f>
              <c:numCache>
                <c:formatCode>General</c:formatCode>
                <c:ptCount val="10"/>
              </c:numCache>
            </c:numRef>
          </c:val>
        </c:ser>
        <c:ser>
          <c:idx val="6"/>
          <c:order val="6"/>
          <c:tx>
            <c:strRef>
              <c:f>Лист1!$H$5</c:f>
              <c:strCache>
                <c:ptCount val="1"/>
                <c:pt idx="0">
                  <c:v>Столбец6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Лист1!$H$6:$H$15</c:f>
              <c:numCache>
                <c:formatCode>General</c:formatCode>
                <c:ptCount val="10"/>
              </c:numCache>
            </c:numRef>
          </c:val>
        </c:ser>
        <c:ser>
          <c:idx val="7"/>
          <c:order val="7"/>
          <c:tx>
            <c:strRef>
              <c:f>Лист1!$I$5</c:f>
              <c:strCache>
                <c:ptCount val="1"/>
                <c:pt idx="0">
                  <c:v>Столбец7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Лист1!$I$6:$I$15</c:f>
              <c:numCache>
                <c:formatCode>General</c:formatCode>
                <c:ptCount val="10"/>
              </c:numCache>
            </c:numRef>
          </c:val>
        </c:ser>
        <c:ser>
          <c:idx val="8"/>
          <c:order val="8"/>
          <c:tx>
            <c:strRef>
              <c:f>Лист1!$J$5</c:f>
              <c:strCache>
                <c:ptCount val="1"/>
                <c:pt idx="0">
                  <c:v>Столбец8</c:v>
                </c:pt>
              </c:strCache>
            </c:strRef>
          </c:tx>
          <c:cat>
            <c:strRef>
              <c:f>Лист1!$A$6:$A$15</c:f>
              <c:strCache>
                <c:ptCount val="10"/>
                <c:pt idx="0">
                  <c:v>Державне управління -  8 458 181,00 грн.</c:v>
                </c:pt>
                <c:pt idx="1">
                  <c:v>Освіта - 39 692 756,00 грн.</c:v>
                </c:pt>
                <c:pt idx="2">
                  <c:v>Соціальний захист та соціальне забезпечення - 406 613,00 грн.</c:v>
                </c:pt>
                <c:pt idx="3">
                  <c:v>Молодіжна політика  48 000,00 грн</c:v>
                </c:pt>
                <c:pt idx="4">
                  <c:v>Культура та мистецтво - 4 643 833,00 грн.</c:v>
                </c:pt>
                <c:pt idx="5">
                  <c:v>Фізична культура і спорт - 317 358,00 грн.</c:v>
                </c:pt>
                <c:pt idx="6">
                  <c:v>Житлово- комунальне господарство - 1 228 851,00 грн.</c:v>
                </c:pt>
                <c:pt idx="7">
                  <c:v>Землеустрій  120 124,00 грн</c:v>
                </c:pt>
                <c:pt idx="8">
                  <c:v>Соціально-економічний розвиток території  2 300,00 грн.</c:v>
                </c:pt>
                <c:pt idx="9">
                  <c:v>Інші субвенції з місцевого бюджету  - 2 903 807,00 грн.</c:v>
                </c:pt>
              </c:strCache>
            </c:strRef>
          </c:cat>
          <c:val>
            <c:numRef>
              <c:f>Лист1!$J$6:$J$15</c:f>
              <c:numCache>
                <c:formatCode>General</c:formatCode>
                <c:ptCount val="10"/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50695344168142653"/>
          <c:y val="8.2325949466020246E-2"/>
          <c:w val="0.4361098151389089"/>
          <c:h val="0.91755349979520817"/>
        </c:manualLayout>
      </c:layout>
      <c:txPr>
        <a:bodyPr/>
        <a:lstStyle/>
        <a:p>
          <a:pPr>
            <a:lnSpc>
              <a:spcPts val="1200"/>
            </a:lnSpc>
            <a:defRPr sz="800" b="1" kern="0" baseline="0"/>
          </a:pPr>
          <a:endParaRPr lang="ru-RU"/>
        </a:p>
      </c:txPr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Pr>
        <a:bodyPr/>
        <a:lstStyle/>
        <a:p>
          <a:pPr>
            <a:defRPr sz="1000"/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9042498063228194E-2"/>
          <c:y val="0.15253527497511479"/>
          <c:w val="0.5175763573435288"/>
          <c:h val="0.758777113073943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Спеціальний фонд</c:v>
                </c:pt>
              </c:strCache>
            </c:strRef>
          </c:tx>
          <c:dLbls>
            <c:numFmt formatCode="0.0%" sourceLinked="0"/>
            <c:showLegendKey val="1"/>
            <c:showPercent val="1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Державне управління - 9 738,00 грн.</c:v>
                </c:pt>
                <c:pt idx="1">
                  <c:v>Освіта - 790 159,00 грн.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9738</c:v>
                </c:pt>
                <c:pt idx="1">
                  <c:v>790159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3180919418899428"/>
          <c:y val="0.16783893023646027"/>
          <c:w val="0.35453370590347155"/>
          <c:h val="0.25187187646064813"/>
        </c:manualLayout>
      </c:layout>
      <c:txPr>
        <a:bodyPr/>
        <a:lstStyle/>
        <a:p>
          <a:pPr>
            <a:defRPr sz="900" b="1"/>
          </a:pPr>
          <a:endParaRPr lang="ru-RU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EA94-FA6C-4C9A-8E95-48BE251D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OTG-PC_3</dc:creator>
  <cp:lastModifiedBy>Admin</cp:lastModifiedBy>
  <cp:revision>2</cp:revision>
  <cp:lastPrinted>2022-01-21T08:31:00Z</cp:lastPrinted>
  <dcterms:created xsi:type="dcterms:W3CDTF">2022-02-08T17:43:00Z</dcterms:created>
  <dcterms:modified xsi:type="dcterms:W3CDTF">2022-02-08T17:43:00Z</dcterms:modified>
</cp:coreProperties>
</file>