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55D" w:rsidRPr="00E9355D" w:rsidRDefault="00E9355D" w:rsidP="00E9355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RU"/>
        </w:rPr>
      </w:pPr>
      <w:r w:rsidRPr="00E9355D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val="ru-RU" w:eastAsia="ru-RU"/>
        </w:rPr>
        <w:t xml:space="preserve">Управління виконавчої </w:t>
      </w:r>
      <w:proofErr w:type="spellStart"/>
      <w:r w:rsidRPr="00E9355D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val="ru-RU" w:eastAsia="ru-RU"/>
        </w:rPr>
        <w:t>дирекції</w:t>
      </w:r>
      <w:proofErr w:type="spellEnd"/>
      <w:r w:rsidRPr="00E9355D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val="ru-RU" w:eastAsia="ru-RU"/>
        </w:rPr>
        <w:t xml:space="preserve"> ФССУ в </w:t>
      </w:r>
      <w:proofErr w:type="spellStart"/>
      <w:r w:rsidRPr="00E9355D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val="ru-RU" w:eastAsia="ru-RU"/>
        </w:rPr>
        <w:t>Дніпропетровській</w:t>
      </w:r>
      <w:proofErr w:type="spellEnd"/>
      <w:r w:rsidRPr="00E9355D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val="ru-RU" w:eastAsia="ru-RU"/>
        </w:rPr>
        <w:t xml:space="preserve"> </w:t>
      </w:r>
      <w:proofErr w:type="spellStart"/>
      <w:proofErr w:type="gramStart"/>
      <w:r w:rsidRPr="00E9355D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val="ru-RU" w:eastAsia="ru-RU"/>
        </w:rPr>
        <w:t>області</w:t>
      </w:r>
      <w:proofErr w:type="spellEnd"/>
      <w:r w:rsidRPr="00E9355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  <w:lang w:val="ru-RU" w:eastAsia="ru-RU"/>
        </w:rPr>
        <w:t>.</w:t>
      </w: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·</w:t>
      </w:r>
      <w:proofErr w:type="gram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Фонд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рекомендує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роботодавцям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подавати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заяви на оплату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лікарняних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дистанційно</w:t>
      </w:r>
      <w:proofErr w:type="spellEnd"/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 метою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протидії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поширенню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коронавірусної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інфекції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вжиття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упередження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розповсюдження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COVID-19 Фонд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наполегливо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рекомендує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страхувальникам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роботодавцям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на час карантину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надавати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перевагу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дистанційній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подачі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Фонду.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Охоплення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електронним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документообігом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заявах-розрахунках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на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підставі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ФССУ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здійснює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матеріального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на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сьогодні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сягає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вже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понад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80%.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Для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Фонду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електронних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зокрема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заяв-розрахунків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допомог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працівникам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страхувальники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роботодавці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мають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укласти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відділенням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робочого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органу виконавчої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дирекції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ФССУ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відповідний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договір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Клієнтське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спеціалізоване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програмне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створення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електронних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роботодавець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обирає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самостійно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поширюється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заяву-розрахунок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повідомлення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коштів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застрахованим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особам за формами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згідно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Порядком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страхувальників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матеріального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застрахованим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особам 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зв’язку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тимчасовою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втратою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працездатності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окремих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потерпілим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виробництві за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рахунок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коштів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затвердженим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постановою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правління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19.07.2018 № 12.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електронних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надає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страхувальнику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право не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подавати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паперових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носіях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документа в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електронному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вигляді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застосуванням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електронного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цифрового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підпису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роздрукована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заява-розрахунок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разом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наданими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застрахованими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особами документами, на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підставі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призначались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окремі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матеріальне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зберігається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страхувальника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Нагадаємо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матеріального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у тому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числі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допомоги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тимчасовій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втраті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працездатності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(оплата за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лікарняними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зокрема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і по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ізоляції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COVID-19),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допомоги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вагітності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пологах,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здійснюється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Фондом на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підставі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прийнятої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роботодавця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заяви-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розрахунку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9355D" w:rsidRPr="00E9355D" w:rsidRDefault="00E9355D" w:rsidP="00E935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Пресслужба</w:t>
      </w:r>
      <w:proofErr w:type="spellEnd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виконавчої </w:t>
      </w:r>
      <w:proofErr w:type="spellStart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дирекції</w:t>
      </w:r>
      <w:proofErr w:type="spellEnd"/>
    </w:p>
    <w:p w:rsidR="00E9355D" w:rsidRDefault="00E9355D" w:rsidP="00E935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Фонду </w:t>
      </w:r>
      <w:proofErr w:type="spellStart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соціального</w:t>
      </w:r>
      <w:proofErr w:type="spellEnd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страхування</w:t>
      </w:r>
      <w:proofErr w:type="spellEnd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України</w:t>
      </w:r>
      <w:proofErr w:type="spellEnd"/>
    </w:p>
    <w:p w:rsidR="00E9355D" w:rsidRDefault="00E9355D" w:rsidP="00E935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9355D" w:rsidRPr="00E9355D" w:rsidRDefault="00E9355D" w:rsidP="00E9355D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</w:pP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/>
      </w: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HYPERLINK "https://www.facebook.com/dpfssu/?__cft__%5b0%5d=AZUFKsVf-SUeMVUyhAx_9xV2L7iblT_jU6NybIpcj2QqfzjrnzU4A5uURlxHKn2V1-m-TZILmCx9PzyBeT5_vqXgKfnZ1FuwAc8_uhXPafqHxEsvf5BtKWfiTS_lP5fhVHLXb2i4Yz0KBWNsf6mG7pPM&amp;__tn__=%3C%2CP-R" </w:instrText>
      </w: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</w:p>
    <w:p w:rsidR="00E9355D" w:rsidRPr="00E9355D" w:rsidRDefault="00E9355D" w:rsidP="00E93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</w:p>
    <w:p w:rsidR="00E9355D" w:rsidRPr="00E9355D" w:rsidRDefault="00E9355D" w:rsidP="00E9355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RU"/>
        </w:rPr>
      </w:pPr>
      <w:hyperlink r:id="rId4" w:history="1">
        <w:r w:rsidRPr="00E9355D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ru-RU" w:eastAsia="ru-RU"/>
          </w:rPr>
          <w:t xml:space="preserve">Управління виконавчої </w:t>
        </w:r>
        <w:proofErr w:type="spellStart"/>
        <w:r w:rsidRPr="00E9355D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ru-RU" w:eastAsia="ru-RU"/>
          </w:rPr>
          <w:t>дирекції</w:t>
        </w:r>
        <w:proofErr w:type="spellEnd"/>
        <w:r w:rsidRPr="00E9355D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ru-RU" w:eastAsia="ru-RU"/>
          </w:rPr>
          <w:t xml:space="preserve"> ФССУ </w:t>
        </w:r>
        <w:proofErr w:type="gramStart"/>
        <w:r w:rsidRPr="00E9355D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ru-RU" w:eastAsia="ru-RU"/>
          </w:rPr>
          <w:t xml:space="preserve">в </w:t>
        </w:r>
      </w:hyperlink>
      <w:r w:rsidRPr="00E9355D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val="ru-RU" w:eastAsia="ru-RU"/>
        </w:rPr>
        <w:t>Дніпропетровській</w:t>
      </w:r>
      <w:proofErr w:type="spellEnd"/>
      <w:proofErr w:type="gramEnd"/>
      <w:r w:rsidRPr="00E9355D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val="ru-RU" w:eastAsia="ru-RU"/>
        </w:rPr>
        <w:t>області</w:t>
      </w:r>
      <w:proofErr w:type="spellEnd"/>
      <w:r w:rsidRPr="00E9355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  <w:lang w:val="ru-RU" w:eastAsia="ru-RU"/>
        </w:rPr>
        <w:t>.</w:t>
      </w: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· 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Підставою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страхових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медичним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працівникам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членам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сімей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є акт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розслідування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захворювання</w:t>
      </w:r>
      <w:proofErr w:type="spellEnd"/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Фонд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реалізує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державне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завдання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активно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здійснює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соціальний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захист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застрахованих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осіб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у тому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числі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медичних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постраждали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внаслідок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захворювання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коронавірусною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хворобою COVID-19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професійних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обов’язків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Медичні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захворіли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гостру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респіраторну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хворобу COVID-19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професійних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обов’язків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члени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сімей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таких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медичних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випадку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смерті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мають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право на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страхові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передбачені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Законом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загальнообов’язкове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державне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соціальне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та Законом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захист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населення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інфекційних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хвороб»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після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визнання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захворювання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пов’язаним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виробництвом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Документом для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отримання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страхових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є акт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розслідування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гострого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професійного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захворювання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пов’язаного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виробництвом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за формою,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встановленою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Порядком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розслідування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обліку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нещасних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випадків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професійних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захворювань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аварій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виробництві (постанова КМУ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17.04.2019 № 337).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Цей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акт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складається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комісією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розслідування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створюється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територіальними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органами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Держпраці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випадку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смерті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та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роботодавцем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(в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інших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випадках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).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складається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виключно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підставі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епідеміологічного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розслідування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випадку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інфікування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медпрацівника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висновку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профпатолога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діагнозу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пов’язаного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COVID-19.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Зазначене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епідеміологічне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розслідування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якому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чітко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визначаються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обставини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час та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джерело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інфікування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проводиться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установами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відповідними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посадовими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особами,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підпорядкованими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Міністерству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охорони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здоров’я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Якщо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комісією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інфікування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працівника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сталося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професійних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обов’язків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то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гостре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професійне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захворювання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визнається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пов’язаним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виробництвом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за результатами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розслідування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складається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акт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розслідування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гострого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професійного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захворювання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формою Н-1/П. 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інфікування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працівника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пов’язано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ним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професійних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обов’язків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побуті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відпустки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тощо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), то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дане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захворювання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визнається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пов’язаним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виробництвом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на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нього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складається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акт за формою Н-1/НП.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Фонд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керується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чіткими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вимогами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законодавства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має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право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здійснювати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страхові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виключно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після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належного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оформлення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вищезазначених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відповідними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висновками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не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впливає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процедуру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розслідування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підстав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виплат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Зазначимо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Фондом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було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здійснено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одноразових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допомог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кошти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державного бюджету родинам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медиків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померли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внаслідок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гострого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професійного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захворювання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на суму 33,11 млн грн.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Одноразових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допомог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загальнообов’язкового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державного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соцстрахування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на суму 4,74 млн грн.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Також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початку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пандемії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ФССУ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прийняв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оплату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лікарняні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листки на суму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майже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4,8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мільйона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гривень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компенсації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втраченого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заробітку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медикам,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захворіли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COVID-19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внаслідок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професійних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обов’язків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Крім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того, для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понад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тисяч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медиків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компенсував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100%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втраченого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заробітку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час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ізоляції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COVID-19 на суму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більше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14 млн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гривень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9355D" w:rsidRPr="00E9355D" w:rsidRDefault="00E9355D" w:rsidP="00E935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Пресслужба</w:t>
      </w:r>
      <w:proofErr w:type="spellEnd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виконавчої </w:t>
      </w:r>
      <w:proofErr w:type="spellStart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дирекції</w:t>
      </w:r>
      <w:proofErr w:type="spellEnd"/>
    </w:p>
    <w:p w:rsidR="00E9355D" w:rsidRPr="00E9355D" w:rsidRDefault="00E9355D" w:rsidP="00E935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Фонду </w:t>
      </w:r>
      <w:proofErr w:type="spellStart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соціального</w:t>
      </w:r>
      <w:proofErr w:type="spellEnd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страхування</w:t>
      </w:r>
      <w:proofErr w:type="spellEnd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України</w:t>
      </w:r>
      <w:proofErr w:type="spellEnd"/>
    </w:p>
    <w:p w:rsidR="00E9355D" w:rsidRDefault="00E9355D" w:rsidP="00E935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9355D" w:rsidRDefault="00E9355D" w:rsidP="00E935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9355D" w:rsidRPr="00E9355D" w:rsidRDefault="00E9355D" w:rsidP="00E9355D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</w:pP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/>
      </w: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HYPERLINK "https://www.facebook.com/dpfssu/?__cft__%5b0%5d=AZWwFIxU6FGzY5ofSxiCTbIgs6ves3Zzn2Rl1J8WFQxtvc8BA2yeXWdJnxjcv78AKIYWLKVmpHqeRRTOu_hIZCTqDeTECExf-Crwdjn6ymg_oVvuQmP2MGt4SS6gDcvej7aqAsZVHkXRl4HtHjvazG1K&amp;__tn__=%3C%2CP-R" </w:instrText>
      </w: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</w:p>
    <w:p w:rsidR="00E9355D" w:rsidRPr="00E9355D" w:rsidRDefault="00E9355D" w:rsidP="00E93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</w:p>
    <w:p w:rsidR="00E9355D" w:rsidRPr="00E9355D" w:rsidRDefault="00E9355D" w:rsidP="00E9355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RU"/>
        </w:rPr>
      </w:pPr>
      <w:hyperlink r:id="rId5" w:history="1">
        <w:r w:rsidRPr="00E9355D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ru-RU" w:eastAsia="ru-RU"/>
          </w:rPr>
          <w:t xml:space="preserve">Управління виконавчої </w:t>
        </w:r>
        <w:proofErr w:type="spellStart"/>
        <w:r w:rsidRPr="00E9355D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ru-RU" w:eastAsia="ru-RU"/>
          </w:rPr>
          <w:t>дирекції</w:t>
        </w:r>
        <w:proofErr w:type="spellEnd"/>
        <w:r w:rsidRPr="00E9355D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ru-RU" w:eastAsia="ru-RU"/>
          </w:rPr>
          <w:t xml:space="preserve"> ФССУ </w:t>
        </w:r>
        <w:proofErr w:type="gramStart"/>
        <w:r w:rsidRPr="00E9355D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ru-RU" w:eastAsia="ru-RU"/>
          </w:rPr>
          <w:t xml:space="preserve">в </w:t>
        </w:r>
      </w:hyperlink>
      <w:r w:rsidRPr="00E9355D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val="ru-RU" w:eastAsia="ru-RU"/>
        </w:rPr>
        <w:t>Дніпропетровській</w:t>
      </w:r>
      <w:proofErr w:type="spellEnd"/>
      <w:proofErr w:type="gramEnd"/>
      <w:r w:rsidRPr="00E9355D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val="ru-RU" w:eastAsia="ru-RU"/>
        </w:rPr>
        <w:t>області</w:t>
      </w:r>
      <w:proofErr w:type="spellEnd"/>
      <w:r w:rsidRPr="00E9355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  <w:lang w:val="ru-RU" w:eastAsia="ru-RU"/>
        </w:rPr>
        <w:t>.</w:t>
      </w: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·</w:t>
      </w:r>
      <w:bookmarkStart w:id="0" w:name="_GoBack"/>
      <w:bookmarkEnd w:id="0"/>
    </w:p>
    <w:p w:rsidR="00E9355D" w:rsidRPr="00E9355D" w:rsidRDefault="00E9355D" w:rsidP="00E93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Кількість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оплачуваних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Фондом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лікарняних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зросла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48,9% за один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місяць</w:t>
      </w:r>
      <w:proofErr w:type="spellEnd"/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Фонд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страхування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фіксує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значне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зростання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кількості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листків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непрацездатності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надаються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оплату до ФССУ.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Динаміка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збільшення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числа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лікарняних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днів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непрацездатності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застрахованих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осіб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спостерігається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початку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осені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зростають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видатки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Фонду на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допомог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тимчасовій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втраті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працездатності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оперативними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даними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жовтні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поточного року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кількість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лікарняних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листків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порівнянні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вереснем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збільшилась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48,9%, на 35,4%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зросла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кількість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днів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непрацездатності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сума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витрат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зросла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38,7%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334,7 млн грн. 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Ріст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числа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листків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днів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непрацездатності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пов'язаний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сезонним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підвищенням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захворюваності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респіраторні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хвороби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збільшенням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потреби 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догляді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хворими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дітьми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ізоляцією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COVID-19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контактних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осіб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також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безпосереднім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захворюванням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українських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коронавірусну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хворобу.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Темпи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зростання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кількості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листків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тимчасовій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непрацездатності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є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найбільшими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регіонах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обласні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центри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віднесено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«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червоного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та «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помаранчевого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рівнів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епідемічної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небезпеки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результатами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засідання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Державної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комісії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ТЕБ та НС.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Так, 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Сумській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збільшення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лікарняних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жовтні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порівняно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вереснем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склало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90,8%, 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Тернопільській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87,9%,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Миколаївській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83,3%,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Вінницькій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80,4%,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Полтавській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72,6%,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Харківській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66,1%,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Черкаській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63%,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Рівненській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62,2%.</w:t>
      </w:r>
    </w:p>
    <w:p w:rsidR="00E9355D" w:rsidRPr="00E9355D" w:rsidRDefault="00E9355D" w:rsidP="00E935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Нагадаємо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упродовж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жовтня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ФССУ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прийняв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оплату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понад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396 тис.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листків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непрацездатності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Загальна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сума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склала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1,2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мільярда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гривень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Щоденна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інформація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стану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фінансування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Фондом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матеріального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розрізі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статей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видатків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оновлюється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телеграм-каналі</w:t>
      </w:r>
      <w:proofErr w:type="spellEnd"/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ФССУ: </w:t>
      </w:r>
      <w:hyperlink r:id="rId6" w:tgtFrame="_blank" w:history="1">
        <w:r w:rsidRPr="00E935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https://t.me/socialfund</w:t>
        </w:r>
      </w:hyperlink>
      <w:r w:rsidRPr="00E935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9355D" w:rsidRPr="00E9355D" w:rsidRDefault="00E9355D" w:rsidP="00E935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Пресслужба</w:t>
      </w:r>
      <w:proofErr w:type="spellEnd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виконавчої </w:t>
      </w:r>
      <w:proofErr w:type="spellStart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дирекції</w:t>
      </w:r>
      <w:proofErr w:type="spellEnd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E9355D" w:rsidRPr="00E9355D" w:rsidRDefault="00E9355D" w:rsidP="00E935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Фонду </w:t>
      </w:r>
      <w:proofErr w:type="spellStart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соціального</w:t>
      </w:r>
      <w:proofErr w:type="spellEnd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страхування</w:t>
      </w:r>
      <w:proofErr w:type="spellEnd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E935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України</w:t>
      </w:r>
      <w:proofErr w:type="spellEnd"/>
    </w:p>
    <w:p w:rsidR="00E9355D" w:rsidRPr="00E9355D" w:rsidRDefault="00E9355D" w:rsidP="00E935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82251" w:rsidRPr="00E9355D" w:rsidRDefault="00482251" w:rsidP="00E9355D">
      <w:pPr>
        <w:jc w:val="right"/>
        <w:rPr>
          <w:b/>
        </w:rPr>
      </w:pPr>
    </w:p>
    <w:sectPr w:rsidR="00482251" w:rsidRPr="00E9355D" w:rsidSect="00AE528C">
      <w:pgSz w:w="11906" w:h="16838"/>
      <w:pgMar w:top="1134" w:right="567" w:bottom="1134" w:left="1701" w:header="720" w:footer="720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55D"/>
    <w:rsid w:val="00482251"/>
    <w:rsid w:val="00AE528C"/>
    <w:rsid w:val="00C87E7C"/>
    <w:rsid w:val="00E9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A54FA-A5C1-4E9E-A350-82B094EE8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link w:val="20"/>
    <w:uiPriority w:val="9"/>
    <w:qFormat/>
    <w:rsid w:val="00E935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935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9355D"/>
    <w:rPr>
      <w:color w:val="0000FF"/>
      <w:u w:val="single"/>
    </w:rPr>
  </w:style>
  <w:style w:type="character" w:styleId="a4">
    <w:name w:val="Strong"/>
    <w:basedOn w:val="a0"/>
    <w:uiPriority w:val="22"/>
    <w:qFormat/>
    <w:rsid w:val="00E935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4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1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22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02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2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02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05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8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4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92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44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451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7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04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485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47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603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13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69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48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044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47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0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6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6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7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00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0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85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91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53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39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89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66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82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39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31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25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443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35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20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52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6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28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25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51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40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45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93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39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9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8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35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3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2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8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3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39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49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8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19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8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35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6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35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74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01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30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73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483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04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40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22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86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42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17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2368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socialfund?fbclid=IwAR25ukwn50TbMvxah-JSUlNExbcE8YfMU4ysocYfVNkrSdP28YhMkAr3X6Q" TargetMode="External"/><Relationship Id="rId5" Type="http://schemas.openxmlformats.org/officeDocument/2006/relationships/hyperlink" Target="https://www.facebook.com/dpfssu/?__cft__%5b0%5d=AZWwFIxU6FGzY5ofSxiCTbIgs6ves3Zzn2Rl1J8WFQxtvc8BA2yeXWdJnxjcv78AKIYWLKVmpHqeRRTOu_hIZCTqDeTECExf-Crwdjn6ymg_oVvuQmP2MGt4SS6gDcvej7aqAsZVHkXRl4HtHjvazG1K&amp;__tn__=-UC%2CP-R" TargetMode="External"/><Relationship Id="rId4" Type="http://schemas.openxmlformats.org/officeDocument/2006/relationships/hyperlink" Target="https://www.facebook.com/dpfssu/?__cft__%5b0%5d=AZUFKsVf-SUeMVUyhAx_9xV2L7iblT_jU6NybIpcj2QqfzjrnzU4A5uURlxHKn2V1-m-TZILmCx9PzyBeT5_vqXgKfnZ1FuwAc8_uhXPafqHxEsvf5BtKWfiTS_lP5fhVHLXb2i4Yz0KBWNsf6mG7pPM&amp;__tn__=-UC%2CP-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1244</Words>
  <Characters>7092</Characters>
  <Application>Microsoft Office Word</Application>
  <DocSecurity>0</DocSecurity>
  <Lines>59</Lines>
  <Paragraphs>16</Paragraphs>
  <ScaleCrop>false</ScaleCrop>
  <Company>Microsoft</Company>
  <LinksUpToDate>false</LinksUpToDate>
  <CharactersWithSpaces>8320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Пирожинская</dc:creator>
  <cp:keywords/>
  <dc:description/>
  <cp:lastModifiedBy>Пирожинская</cp:lastModifiedBy>
  <cp:revision>1</cp:revision>
  <dcterms:created xsi:type="dcterms:W3CDTF">2020-11-17T06:38:00Z</dcterms:created>
  <dcterms:modified xsi:type="dcterms:W3CDTF">2020-11-17T06:45:00Z</dcterms:modified>
</cp:coreProperties>
</file>