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212BD6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484.6pt;margin-top:186.05pt;width:109.3pt;height:130.4pt;z-index:251696128" strokecolor="#e36c0a [2409]">
            <v:textbox style="mso-next-textbox:#_x0000_s1055">
              <w:txbxContent>
                <w:p w:rsidR="00DE5291" w:rsidRDefault="00DE5291" w:rsidP="00212BD6">
                  <w:pPr>
                    <w:ind w:right="-10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76350" cy="1567543"/>
                        <wp:effectExtent l="19050" t="0" r="0" b="0"/>
                        <wp:docPr id="9" name="Рисунок 9" descr="https://samelectryk.in.ua/images/pt/rio/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samelectryk.in.ua/images/pt/rio/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769" cy="1568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81.6pt;margin-top:293.1pt;width:227.45pt;height:104.9pt;z-index:251682816" filled="f" strokecolor="#00b0f0" strokeweight="1.5pt">
            <v:textbox style="mso-next-textbox:#_x0000_s1041">
              <w:txbxContent>
                <w:p w:rsidR="00616A3C" w:rsidRDefault="00616A3C" w:rsidP="00212BD6">
                  <w:pPr>
                    <w:spacing w:after="0" w:line="240" w:lineRule="auto"/>
                    <w:ind w:right="-57" w:firstLine="284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D0732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н</w:t>
                  </w: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е дозволяється за допомогою </w:t>
                  </w:r>
                </w:p>
                <w:p w:rsidR="00616A3C" w:rsidRDefault="00616A3C" w:rsidP="00212BD6">
                  <w:pPr>
                    <w:spacing w:after="0" w:line="240" w:lineRule="auto"/>
                    <w:ind w:right="-57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газових плит обігрівати </w:t>
                  </w:r>
                </w:p>
                <w:p w:rsidR="00616A3C" w:rsidRDefault="00616A3C" w:rsidP="00212BD6">
                  <w:pPr>
                    <w:spacing w:after="0" w:line="240" w:lineRule="auto"/>
                    <w:ind w:right="-57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приміщення, сушити білизну, </w:t>
                  </w:r>
                </w:p>
                <w:p w:rsidR="00616A3C" w:rsidRDefault="00616A3C" w:rsidP="00212BD6">
                  <w:pPr>
                    <w:spacing w:after="0" w:line="240" w:lineRule="auto"/>
                    <w:ind w:right="-57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а також прив'язувати до </w:t>
                  </w:r>
                </w:p>
                <w:p w:rsidR="00212BD6" w:rsidRDefault="00616A3C" w:rsidP="00212BD6">
                  <w:pPr>
                    <w:spacing w:after="0" w:line="240" w:lineRule="auto"/>
                    <w:ind w:left="-57" w:right="-57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газопроводів мотузки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,</w:t>
                  </w:r>
                  <w:r w:rsidRPr="00616A3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</w:t>
                  </w:r>
                  <w:r w:rsidR="00D3484F"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закривати</w:t>
                  </w:r>
                </w:p>
                <w:p w:rsidR="00C01B7F" w:rsidRPr="002C2CD7" w:rsidRDefault="00D3484F" w:rsidP="00212BD6">
                  <w:pPr>
                    <w:spacing w:after="0" w:line="240" w:lineRule="auto"/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решітки вентиляційних каналів</w:t>
                  </w:r>
                  <w:r w:rsidR="00D53B59" w:rsidRPr="002C2CD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;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202" style="position:absolute;margin-left:-2.15pt;margin-top:403.1pt;width:115.25pt;height:88.2pt;z-index:251701248" strokecolor="#e36c0a [2409]">
            <v:textbox style="mso-next-textbox:#_x0000_s1058">
              <w:txbxContent>
                <w:p w:rsidR="00D07325" w:rsidRDefault="00400385">
                  <w:r>
                    <w:rPr>
                      <w:noProof/>
                    </w:rPr>
                    <w:drawing>
                      <wp:inline distT="0" distB="0" distL="0" distR="0">
                        <wp:extent cx="1319893" cy="1023257"/>
                        <wp:effectExtent l="19050" t="0" r="0" b="0"/>
                        <wp:docPr id="20" name="Рисунок 19" descr="Ð Ð¾Ð·ÑÐ°ÑÑÐ½Ð¾Ðº Ð³Ð°Ð·Ñ Ð¿ÑÐ¸ Ð½ÐµÑÐ°Ð½ÐºÑÑÐ¾Ð½Ð¾Ð²Ð°Ð½Ð¾Ð¼Ñ Ð²ÑÑÑÑÐ°Ð½Ð½Ñ Ñ Ð»ÑÑÐ¸Ð»ÑÐ½Ð¸Ð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Ð Ð¾Ð·ÑÐ°ÑÑÐ½Ð¾Ðº Ð³Ð°Ð·Ñ Ð¿ÑÐ¸ Ð½ÐµÑÐ°Ð½ÐºÑÑÐ¾Ð½Ð¾Ð²Ð°Ð½Ð¾Ð¼Ñ Ð²ÑÑÑÑÐ°Ð½Ð½Ñ Ñ Ð»ÑÑÐ¸Ð»ÑÐ½Ð¸Ð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5054" cy="10350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margin-left:-2.15pt;margin-top:293.1pt;width:85.2pt;height:102.05pt;z-index:251693056" fillcolor="white [3212]" strokecolor="#e36c0a [2409]">
            <v:textbox style="mso-next-textbox:#_x0000_s1051">
              <w:txbxContent>
                <w:p w:rsidR="002E1B13" w:rsidRPr="00731C70" w:rsidRDefault="00DE5291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FFFF00"/>
                      <w:sz w:val="24"/>
                      <w:szCs w:val="24"/>
                    </w:rPr>
                    <w:drawing>
                      <wp:inline distT="0" distB="0" distL="0" distR="0">
                        <wp:extent cx="928007" cy="1172942"/>
                        <wp:effectExtent l="19050" t="0" r="5443" b="0"/>
                        <wp:docPr id="8" name="Рисунок 8" descr="D:\Desktop\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D:\Desktop\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0265" cy="1188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0385"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margin-left:287.1pt;margin-top:273.6pt;width:243.8pt;height:129.4pt;z-index:251703296" fillcolor="#8db3e2 [1311]" strokecolor="#0070c0" strokeweight="1.5pt">
            <v:textbox style="mso-next-textbox:#_x0000_s1032">
              <w:txbxContent>
                <w:p w:rsidR="00400385" w:rsidRDefault="00D726CF" w:rsidP="00400385">
                  <w:pPr>
                    <w:spacing w:after="0" w:line="240" w:lineRule="auto"/>
                    <w:ind w:left="-227" w:right="-227"/>
                    <w:jc w:val="center"/>
                    <w:rPr>
                      <w:rFonts w:asciiTheme="majorHAnsi" w:hAnsiTheme="majorHAnsi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</w:pPr>
                  <w:r w:rsidRPr="00E557F1">
                    <w:rPr>
                      <w:rFonts w:asciiTheme="majorHAnsi" w:hAnsiTheme="majorHAnsi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  <w:t xml:space="preserve">ОСНОВНІ ВИМОГИ </w:t>
                  </w:r>
                </w:p>
                <w:p w:rsidR="001B2B24" w:rsidRPr="00E557F1" w:rsidRDefault="00D726CF" w:rsidP="00400385">
                  <w:pPr>
                    <w:spacing w:after="0" w:line="240" w:lineRule="auto"/>
                    <w:ind w:left="-227" w:right="-227"/>
                    <w:jc w:val="center"/>
                    <w:rPr>
                      <w:rFonts w:asciiTheme="majorHAnsi" w:hAnsiTheme="majorHAnsi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</w:pPr>
                  <w:r w:rsidRPr="00E557F1">
                    <w:rPr>
                      <w:rFonts w:asciiTheme="majorHAnsi" w:hAnsiTheme="majorHAnsi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  <w:t>ДО КОРИСТУВАННЯ ГАЗОВИМИ ПРИЛАДАМИ</w:t>
                  </w:r>
                </w:p>
              </w:txbxContent>
            </v:textbox>
          </v:oval>
        </w:pict>
      </w:r>
      <w:r w:rsidR="00400385"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202" style="position:absolute;margin-left:356.05pt;margin-top:403pt;width:62.35pt;height:81.45pt;z-index:251705344" strokecolor="#e36c0a [2409]">
            <v:textbox style="mso-next-textbox:#_x0000_s1057">
              <w:txbxContent>
                <w:p w:rsidR="00D07325" w:rsidRDefault="00D955C4" w:rsidP="00D955C4">
                  <w:pPr>
                    <w:ind w:left="-142" w:right="-139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32064" cy="947057"/>
                        <wp:effectExtent l="19050" t="0" r="0" b="0"/>
                        <wp:docPr id="17" name="Рисунок 13" descr="ÐÐ²Ð°ÑÑÐ¸ÑÐ° ÑÐ¿Ð°Ð»Ð°ÑÐ½ÑÐ»Ð° Ð² ÑÐµÐ½ÑÑÑ ÐÐ´ÐµÑÐ¸: âÐ·Ð°Ð³ÑÐ¾Ð·Ð° Ð²Ð¸Ð±ÑÑÑâ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ÐÐ²Ð°ÑÑÐ¸ÑÐ° ÑÐ¿Ð°Ð»Ð°ÑÐ½ÑÐ»Ð° Ð² ÑÐµÐ½ÑÑÑ ÐÐ´ÐµÑÐ¸: âÐ·Ð°Ð³ÑÐ¾Ð·Ð° Ð²Ð¸Ð±ÑÑÑâ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7246" cy="9408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0385"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415.75pt;margin-top:418.2pt;width:277.8pt;height:73.35pt;z-index:251704320" filled="f" strokecolor="#00b0f0" strokeweight="1.5pt">
            <v:textbox style="mso-next-textbox:#_x0000_s1049">
              <w:txbxContent>
                <w:p w:rsidR="00877163" w:rsidRPr="004C2D2C" w:rsidRDefault="00877163" w:rsidP="00D955C4">
                  <w:pPr>
                    <w:spacing w:after="0" w:line="240" w:lineRule="auto"/>
                    <w:ind w:left="-57" w:firstLine="284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н</w:t>
                  </w: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е дозволяється підносити до лічильника вогонь (сірник, свічку і т. п.), підвішувати чи класти на лічильник будь-які предмети.</w:t>
                  </w:r>
                </w:p>
                <w:p w:rsidR="00EE3500" w:rsidRPr="00877163" w:rsidRDefault="00EE3500" w:rsidP="00877163">
                  <w:pPr>
                    <w:spacing w:after="0" w:line="240" w:lineRule="auto"/>
                    <w:ind w:right="-68" w:firstLine="284"/>
                    <w:rPr>
                      <w:rFonts w:asciiTheme="majorHAnsi" w:hAnsiTheme="majorHAnsi" w:cs="Arial"/>
                      <w:b/>
                      <w:color w:val="383838"/>
                      <w:sz w:val="32"/>
                      <w:szCs w:val="32"/>
                    </w:rPr>
                  </w:pPr>
                </w:p>
                <w:p w:rsidR="00EE3500" w:rsidRPr="00877163" w:rsidRDefault="00EE3500" w:rsidP="00877163">
                  <w:pPr>
                    <w:spacing w:after="0" w:line="240" w:lineRule="auto"/>
                    <w:ind w:right="-68" w:firstLine="284"/>
                    <w:jc w:val="both"/>
                    <w:rPr>
                      <w:b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 w:rsidR="00400385"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202" style="position:absolute;margin-left:698.6pt;margin-top:390.8pt;width:83.05pt;height:71.95pt;z-index:251702272" strokecolor="#e36c0a [2409]">
            <v:textbox style="mso-next-textbox:#_x0000_s1059">
              <w:txbxContent>
                <w:p w:rsidR="00D07325" w:rsidRDefault="00400385" w:rsidP="00400385">
                  <w:pPr>
                    <w:ind w:left="-142" w:right="-11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9779" cy="805543"/>
                        <wp:effectExtent l="19050" t="0" r="2721" b="0"/>
                        <wp:docPr id="18" name="Рисунок 16" descr="ÐÐ°ÑÑÐ¸Ð½ÐºÐ¸ Ð¿Ð¾ Ð·Ð°Ð¿ÑÐ¾ÑÑ ÑÐ¾ÑÐ¾ Ð¿Ð»Ð¾Ð¼Ð±Ð¸ Ð½Ð° Ð»Ð¸ÑÑÐ»ÑÐ½Ð¸ÐºÑ Ð³Ð°Ð·Ñ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ÐÐ°ÑÑÐ¸Ð½ÐºÐ¸ Ð¿Ð¾ Ð·Ð°Ð¿ÑÐ¾ÑÑ ÑÐ¾ÑÐ¾ Ð¿Ð»Ð¾Ð¼Ð±Ð¸ Ð½Ð° Ð»Ð¸ÑÑÐ»ÑÐ½Ð¸ÐºÑ Ð³Ð°Ð·Ñ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9779" cy="8055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955C4"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75.5pt;margin-top:403pt;width:272.3pt;height:88.3pt;z-index:251679744" filled="f" strokecolor="#00b0f0" strokeweight="1.5pt">
            <v:textbox style="mso-next-textbox:#_x0000_s1038">
              <w:txbxContent>
                <w:p w:rsidR="00400385" w:rsidRDefault="00D07325" w:rsidP="00212BD6">
                  <w:pPr>
                    <w:spacing w:after="0" w:line="240" w:lineRule="auto"/>
                    <w:ind w:right="-57" w:firstLine="1134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н</w:t>
                  </w: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е дозволяється самовільно</w:t>
                  </w:r>
                </w:p>
                <w:p w:rsidR="00400385" w:rsidRDefault="00D07325" w:rsidP="00400385">
                  <w:pPr>
                    <w:spacing w:after="0" w:line="240" w:lineRule="auto"/>
                    <w:ind w:right="-57"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</w:t>
                  </w:r>
                  <w:r w:rsidR="0040038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переміщати, ремонтувати</w:t>
                  </w:r>
                  <w:r w:rsidR="00E557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газові </w:t>
                  </w:r>
                </w:p>
                <w:p w:rsidR="00400385" w:rsidRDefault="00D07325" w:rsidP="00400385">
                  <w:pPr>
                    <w:spacing w:after="0" w:line="240" w:lineRule="auto"/>
                    <w:ind w:right="-57"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прилади, відключати діючі газові </w:t>
                  </w:r>
                </w:p>
                <w:p w:rsidR="00400385" w:rsidRDefault="00D07325" w:rsidP="00400385">
                  <w:pPr>
                    <w:spacing w:after="0" w:line="240" w:lineRule="auto"/>
                    <w:ind w:right="-57"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прилади або підключати нові </w:t>
                  </w:r>
                </w:p>
                <w:p w:rsidR="002925A3" w:rsidRPr="00D07325" w:rsidRDefault="00400385" w:rsidP="00400385">
                  <w:pPr>
                    <w:spacing w:after="0" w:line="240" w:lineRule="auto"/>
                    <w:ind w:right="-57" w:firstLine="709"/>
                    <w:jc w:val="both"/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г</w:t>
                  </w:r>
                  <w:r w:rsidR="00D07325"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азові</w:t>
                  </w:r>
                  <w:r w:rsidR="00D07325" w:rsidRPr="00E557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прилади, газові лічильники</w:t>
                  </w:r>
                  <w:r w:rsidR="00D0732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;</w:t>
                  </w:r>
                </w:p>
                <w:p w:rsidR="00644B29" w:rsidRPr="00D07325" w:rsidRDefault="00644B29" w:rsidP="00E557F1">
                  <w:pPr>
                    <w:pStyle w:val="2"/>
                    <w:spacing w:before="0" w:line="240" w:lineRule="auto"/>
                    <w:jc w:val="both"/>
                    <w:rPr>
                      <w:rFonts w:eastAsia="Times New Roman" w:cs="Times New Roman"/>
                      <w:color w:val="0070C0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877163"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512.9pt;margin-top:323.1pt;width:263.6pt;height:87.85pt;z-index:251685888" filled="f" fillcolor="red" strokecolor="#00b0f0" strokeweight="1.5pt">
            <v:textbox style="mso-next-textbox:#_x0000_s1042">
              <w:txbxContent>
                <w:p w:rsidR="000C26A3" w:rsidRPr="00877163" w:rsidRDefault="00877163" w:rsidP="00877163">
                  <w:pPr>
                    <w:spacing w:after="0" w:line="240" w:lineRule="auto"/>
                    <w:ind w:left="-57" w:right="-113" w:firstLine="199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     </w:t>
                  </w:r>
                  <w:r w:rsidR="000C26A3" w:rsidRPr="0087716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н</w:t>
                  </w:r>
                  <w:r w:rsidR="000C26A3"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е дозволяється пошкоджувати</w:t>
                  </w:r>
                </w:p>
                <w:p w:rsidR="00877163" w:rsidRDefault="00877163" w:rsidP="00877163">
                  <w:pPr>
                    <w:spacing w:after="0" w:line="240" w:lineRule="auto"/>
                    <w:ind w:left="-57" w:right="-113" w:firstLine="199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   </w:t>
                  </w:r>
                  <w:r w:rsidR="000C26A3"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пломби, встановленні налічильнику</w:t>
                  </w:r>
                </w:p>
                <w:p w:rsidR="002E1B13" w:rsidRPr="00877163" w:rsidRDefault="00877163" w:rsidP="00877163">
                  <w:pPr>
                    <w:spacing w:after="0" w:line="240" w:lineRule="auto"/>
                    <w:ind w:left="-57" w:right="-113" w:firstLine="199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(</w:t>
                  </w:r>
                  <w:r w:rsidR="000C26A3" w:rsidRPr="0087716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у</w:t>
                  </w:r>
                  <w:r w:rsidR="000C26A3"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сувати</w:t>
                  </w:r>
                  <w:r w:rsidR="000C26A3" w:rsidRPr="0087716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="000C26A3"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негерметичність лічильника повинні тільки працівники газового господарства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)</w:t>
                  </w:r>
                  <w:r w:rsidR="000C26A3" w:rsidRPr="0087716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;</w:t>
                  </w:r>
                </w:p>
              </w:txbxContent>
            </v:textbox>
          </v:shape>
        </w:pict>
      </w:r>
      <w:r w:rsidR="00877163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599.95pt;margin-top:175.65pt;width:175.05pt;height:137.15pt;z-index:251666432" filled="f" fillcolor="#fc6" strokecolor="#00b0f0" strokeweight="1.5pt">
            <v:textbox style="mso-next-textbox:#_x0000_s1034">
              <w:txbxContent>
                <w:p w:rsidR="006672F9" w:rsidRDefault="004576C6" w:rsidP="00212BD6">
                  <w:pPr>
                    <w:spacing w:after="0" w:line="240" w:lineRule="auto"/>
                    <w:ind w:left="-142" w:right="151" w:firstLine="28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користування </w:t>
                  </w:r>
                </w:p>
                <w:p w:rsidR="006672F9" w:rsidRDefault="004576C6" w:rsidP="006672F9">
                  <w:pPr>
                    <w:spacing w:after="0" w:line="240" w:lineRule="auto"/>
                    <w:ind w:left="-142" w:right="151" w:firstLine="142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газом можливе </w:t>
                  </w:r>
                </w:p>
                <w:p w:rsidR="00D07325" w:rsidRDefault="004576C6" w:rsidP="006672F9">
                  <w:pPr>
                    <w:spacing w:after="0" w:line="240" w:lineRule="auto"/>
                    <w:ind w:left="-142" w:right="151" w:firstLine="142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тільки </w:t>
                  </w:r>
                </w:p>
                <w:p w:rsidR="006672F9" w:rsidRDefault="004576C6" w:rsidP="006672F9">
                  <w:pPr>
                    <w:spacing w:after="0" w:line="240" w:lineRule="auto"/>
                    <w:ind w:left="-142" w:right="151" w:firstLine="142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після перевірки</w:t>
                  </w:r>
                </w:p>
                <w:p w:rsidR="006672F9" w:rsidRDefault="004576C6" w:rsidP="006672F9">
                  <w:pPr>
                    <w:spacing w:after="0" w:line="240" w:lineRule="auto"/>
                    <w:ind w:left="-142" w:right="151" w:firstLine="142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і очистки </w:t>
                  </w:r>
                </w:p>
                <w:p w:rsidR="006672F9" w:rsidRDefault="004576C6" w:rsidP="006672F9">
                  <w:pPr>
                    <w:spacing w:after="0" w:line="240" w:lineRule="auto"/>
                    <w:ind w:left="-142" w:right="151" w:firstLine="142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димоходів та </w:t>
                  </w:r>
                </w:p>
                <w:p w:rsidR="00C61E47" w:rsidRPr="00D07325" w:rsidRDefault="004576C6" w:rsidP="006672F9">
                  <w:pPr>
                    <w:spacing w:after="0" w:line="240" w:lineRule="auto"/>
                    <w:ind w:left="-142" w:right="151" w:firstLine="142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вентиляційни</w:t>
                  </w:r>
                  <w:r w:rsidRPr="00D0732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х каналів відповідними службами</w:t>
                  </w:r>
                  <w:r w:rsidRPr="00D0732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;</w:t>
                  </w:r>
                </w:p>
                <w:p w:rsidR="00895397" w:rsidRPr="00A13DA7" w:rsidRDefault="00895397" w:rsidP="00895397">
                  <w:pPr>
                    <w:pStyle w:val="2"/>
                    <w:spacing w:before="0" w:line="240" w:lineRule="auto"/>
                    <w:jc w:val="center"/>
                    <w:rPr>
                      <w:rFonts w:cs="Arial"/>
                      <w:color w:val="383838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877163"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202" style="position:absolute;margin-left:722.55pt;margin-top:167.1pt;width:77.1pt;height:106.5pt;z-index:251697152" strokecolor="#e36c0a [2409]">
            <v:textbox style="mso-next-textbox:#_x0000_s1056">
              <w:txbxContent>
                <w:p w:rsidR="004576C6" w:rsidRDefault="004576C6" w:rsidP="00E557F1">
                  <w:pPr>
                    <w:ind w:left="-142" w:right="19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95350" cy="1164772"/>
                        <wp:effectExtent l="19050" t="0" r="0" b="0"/>
                        <wp:docPr id="15" name="Рисунок 12" descr="D:\Desktop\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D:\Desktop\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0000" cy="11708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26A3"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82.7pt;margin-top:536.9pt;width:7in;height:22.7pt;z-index:251663360" filled="f" fillcolor="#ffc000" stroked="f">
            <v:textbox style="mso-next-textbox:#_x0000_s1031"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1671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</w:t>
                  </w:r>
                  <w:r w:rsidR="004422B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НМЦ ЦЗ та БЖД Дніпропетровської області</w:t>
                  </w:r>
                </w:p>
              </w:txbxContent>
            </v:textbox>
          </v:shape>
        </w:pict>
      </w:r>
      <w:r w:rsidR="00E557F1"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202" style="position:absolute;margin-left:11.1pt;margin-top:197.95pt;width:139.8pt;height:88.3pt;z-index:251695104" strokecolor="#e36c0a [2409]">
            <v:textbox style="mso-next-textbox:#_x0000_s1054">
              <w:txbxContent>
                <w:p w:rsidR="009B2D0F" w:rsidRDefault="009B2D0F">
                  <w:r>
                    <w:rPr>
                      <w:noProof/>
                    </w:rPr>
                    <w:drawing>
                      <wp:inline distT="0" distB="0" distL="0" distR="0">
                        <wp:extent cx="1581150" cy="1009582"/>
                        <wp:effectExtent l="19050" t="0" r="0" b="0"/>
                        <wp:docPr id="4" name="Рисунок 4" descr="D:\Desktop\окно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Desktop\окно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 l="4543" r="4543" b="65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150" cy="10095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557F1"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87.35pt;margin-top:197.95pt;width:199.75pt;height:87.85pt;z-index:251680768" filled="f" strokecolor="#00b0f0" strokeweight="1.5pt">
            <v:textbox style="mso-next-textbox:#_x0000_s1044">
              <w:txbxContent>
                <w:p w:rsidR="003127D5" w:rsidRPr="002C2CD7" w:rsidRDefault="009B2D0F" w:rsidP="00D3484F">
                  <w:pPr>
                    <w:spacing w:after="0" w:line="240" w:lineRule="auto"/>
                    <w:ind w:left="1276" w:firstLine="141"/>
                    <w:jc w:val="center"/>
                    <w:rPr>
                      <w:rFonts w:asciiTheme="majorHAnsi" w:hAnsiTheme="majorHAnsi" w:cs="Times New Roman"/>
                      <w:b/>
                      <w:sz w:val="28"/>
                      <w:szCs w:val="28"/>
                      <w:lang w:val="uk-UA"/>
                    </w:rPr>
                  </w:pPr>
                  <w:r w:rsidRPr="002C2CD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п</w:t>
                  </w: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риміщення, де встановленні газові прилади, повинні постійно провітрюватись</w:t>
                  </w:r>
                  <w:r w:rsidRPr="002C2CD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;</w:t>
                  </w:r>
                </w:p>
              </w:txbxContent>
            </v:textbox>
          </v:shape>
        </w:pict>
      </w:r>
      <w:r w:rsidR="00E557F1"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-2.15pt;margin-top:491.55pt;width:795.8pt;height:45.35pt;z-index:251662336" filled="f" stroked="f">
            <v:textbox style="mso-next-textbox:#_x0000_s1030">
              <w:txbxContent>
                <w:p w:rsidR="00D07325" w:rsidRPr="00212BD6" w:rsidRDefault="00E20B88" w:rsidP="00E557F1">
                  <w:pPr>
                    <w:spacing w:after="0" w:line="240" w:lineRule="auto"/>
                    <w:ind w:firstLine="14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  <w:lang w:val="uk-UA"/>
                    </w:rPr>
                  </w:pPr>
                  <w:r w:rsidRPr="00CD70D7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>Пам’ятайте!</w:t>
                  </w:r>
                  <w:r w:rsidR="00D07325" w:rsidRPr="00D073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</w:t>
                  </w:r>
                  <w:r w:rsidR="00D07325" w:rsidRPr="004C2D2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</w:rPr>
                    <w:t>Від</w:t>
                  </w:r>
                  <w:r w:rsidR="00616A3C" w:rsidRPr="00E557F1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</w:rPr>
                    <w:t>повідальність за справний стан</w:t>
                  </w:r>
                  <w:r w:rsidR="00616A3C" w:rsidRPr="00E557F1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  <w:lang w:val="uk-UA"/>
                    </w:rPr>
                    <w:t>,</w:t>
                  </w:r>
                  <w:r w:rsidR="00D07325" w:rsidRPr="004C2D2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</w:rPr>
                    <w:t xml:space="preserve"> безпечне користування газовими приладами і апаратами в квартирах та житлових</w:t>
                  </w:r>
                  <w:r w:rsidR="00212BD6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</w:rPr>
                    <w:t xml:space="preserve"> будинках лягає на їх власників</w:t>
                  </w:r>
                  <w:r w:rsidR="00212BD6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  <w:lang w:val="uk-UA"/>
                    </w:rPr>
                    <w:t>!</w:t>
                  </w:r>
                </w:p>
                <w:p w:rsidR="00EE3500" w:rsidRPr="008F66D5" w:rsidRDefault="008F66D5" w:rsidP="008F66D5">
                  <w:pPr>
                    <w:pStyle w:val="HTML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8F6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!</w:t>
                  </w:r>
                </w:p>
                <w:p w:rsidR="00E20B88" w:rsidRPr="0017421D" w:rsidRDefault="00E20B88" w:rsidP="007B73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</w:p>
              </w:txbxContent>
            </v:textbox>
          </v:shape>
        </w:pict>
      </w:r>
      <w:r w:rsidR="00E557F1"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202" style="position:absolute;margin-left:-2.15pt;margin-top:80.45pt;width:162.35pt;height:110.55pt;z-index:251694080" strokecolor="#e36c0a [2409]">
            <v:textbox style="mso-next-textbox:#_x0000_s1052">
              <w:txbxContent>
                <w:p w:rsidR="00DE5323" w:rsidRDefault="008B1134" w:rsidP="00DE5323">
                  <w:pPr>
                    <w:ind w:left="-142" w:right="-12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48724" cy="1382486"/>
                        <wp:effectExtent l="19050" t="0" r="0" b="0"/>
                        <wp:docPr id="3" name="Рисунок 1" descr="ÐÐ°Ð·Ð¾Ð²Ð°Ñ Ð¿Ð»Ð¸ÑÐ°. ÐÑÑÐ¿Ð½ÑÐ¼ Ð¿Ð»Ð°Ð½Ð¾Ð¼ â Ð¡ÑÐ¾ÐºÐ¾Ð²Ð¾Ðµ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ÐÐ°Ð·Ð¾Ð²Ð°Ñ Ð¿Ð»Ð¸ÑÐ°. ÐÑÑÐ¿Ð½ÑÐ¼ Ð¿Ð»Ð°Ð½Ð¾Ð¼ â Ð¡ÑÐ¾ÐºÐ¾Ð²Ð¾Ðµ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5589" cy="13802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557F1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294.85pt;margin-top:185.3pt;width:193.55pt;height:88.3pt;z-index:251660288" filled="f" strokecolor="#00b0f0" strokeweight="1.5pt">
            <v:textbox style="mso-next-textbox:#_x0000_s1028">
              <w:txbxContent>
                <w:p w:rsidR="00895397" w:rsidRPr="002C2CD7" w:rsidRDefault="00D53B59" w:rsidP="00212BD6">
                  <w:pPr>
                    <w:pStyle w:val="2"/>
                    <w:spacing w:before="0" w:line="240" w:lineRule="auto"/>
                    <w:ind w:left="-113" w:right="-57"/>
                    <w:jc w:val="center"/>
                    <w:rPr>
                      <w:rFonts w:cs="Arial"/>
                      <w:color w:val="383838"/>
                      <w:sz w:val="28"/>
                      <w:szCs w:val="28"/>
                      <w:lang w:val="uk-UA"/>
                    </w:rPr>
                  </w:pP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постійно</w:t>
                  </w: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обов'</w:t>
                  </w: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язково перевірте наявність тяги</w:t>
                  </w: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:</w:t>
                  </w: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</w:t>
                  </w: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п</w:t>
                  </w: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ри відсутності чи слабій тязі не користуйтесь газом - це смертельно небезпечно</w:t>
                  </w:r>
                  <w:r w:rsidR="00DE5291"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>;</w:t>
                  </w:r>
                </w:p>
                <w:p w:rsidR="005C1B62" w:rsidRPr="00DE5291" w:rsidRDefault="005C1B62" w:rsidP="006672F9">
                  <w:pPr>
                    <w:spacing w:after="0" w:line="240" w:lineRule="auto"/>
                    <w:ind w:left="-57" w:right="-57" w:firstLine="142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0000"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 w:rsidR="002C2CD7"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160.2pt;margin-top:89.1pt;width:621.45pt;height:91.7pt;z-index:251691008" filled="f" fillcolor="yellow" strokecolor="#00b0f0">
            <v:textbox style="mso-next-textbox:#_x0000_s1037">
              <w:txbxContent>
                <w:p w:rsidR="008B1134" w:rsidRPr="004C2D2C" w:rsidRDefault="008B1134" w:rsidP="00D726CF">
                  <w:pPr>
                    <w:spacing w:after="0" w:line="240" w:lineRule="auto"/>
                    <w:ind w:right="74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b/>
                      <w:color w:val="1F497D" w:themeColor="text2"/>
                      <w:sz w:val="28"/>
                      <w:szCs w:val="28"/>
                      <w:bdr w:val="none" w:sz="0" w:space="0" w:color="auto" w:frame="1"/>
                    </w:rPr>
                    <w:t>Природний газ</w:t>
                  </w: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- це газ метан, б</w:t>
                  </w: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ез кольору, без запаху і смаку.</w:t>
                  </w: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Газ - цінне паливо і від того, як воно використовується кожним, залежить нормальне</w:t>
                  </w: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газопостачання всіх жителів.</w:t>
                  </w:r>
                </w:p>
                <w:p w:rsidR="008B1134" w:rsidRPr="004C2D2C" w:rsidRDefault="008B1134" w:rsidP="00D726CF">
                  <w:pPr>
                    <w:spacing w:after="0" w:line="240" w:lineRule="auto"/>
                    <w:ind w:right="74" w:firstLine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Користування побутовими газовими приладами при дотриманні правил та інструкцій безпечне і зручне.</w:t>
                  </w:r>
                  <w:r w:rsidR="00D3484F"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Неправильна експлуатація газових приладів, газових лічильників і поганий догляд за ними може привести не тільки до вибухів і пожеж,</w:t>
                  </w:r>
                  <w:r w:rsidRPr="002C2CD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4C2D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але й до смертельних отруєнь.</w:t>
                  </w:r>
                </w:p>
                <w:p w:rsidR="002E1B13" w:rsidRPr="00D3484F" w:rsidRDefault="002E1B13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8B1134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-2.15pt;margin-top:-13.8pt;width:778.65pt;height:94.25pt;z-index:251692032" filled="f" fillcolor="#ffc000" stroked="f">
            <v:fill rotate="t"/>
            <v:textbox>
              <w:txbxContent>
                <w:p w:rsidR="00F90DF3" w:rsidRDefault="008B1134" w:rsidP="008B1134">
                  <w:pPr>
                    <w:spacing w:after="0" w:line="240" w:lineRule="auto"/>
                    <w:ind w:left="142" w:right="-18"/>
                    <w:jc w:val="center"/>
                  </w:pPr>
                  <w:r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</w:rPr>
                    <w:t>БЕЗПЕЧН</w:t>
                  </w:r>
                  <w:r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  <w:lang w:val="uk-UA"/>
                    </w:rPr>
                    <w:t>Е</w:t>
                  </w:r>
                  <w:r w:rsidRPr="008B1134">
                    <w:rPr>
                      <w:rFonts w:ascii="Bookman Old Style" w:eastAsia="Times New Roman" w:hAnsi="Bookman Old Style" w:cs="Times New Roman"/>
                      <w:color w:val="C00000"/>
                      <w:sz w:val="72"/>
                      <w:szCs w:val="72"/>
                      <w:bdr w:val="none" w:sz="0" w:space="0" w:color="auto" w:frame="1"/>
                      <w:lang w:val="uk-UA"/>
                    </w:rPr>
                    <w:t xml:space="preserve"> </w:t>
                  </w:r>
                  <w:r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</w:rPr>
                    <w:t>КОРИСТУВАНН</w:t>
                  </w:r>
                  <w:r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  <w:lang w:val="uk-UA"/>
                    </w:rPr>
                    <w:t>Я</w:t>
                  </w:r>
                  <w:r w:rsidRPr="008B1134"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  <w:lang w:val="uk-UA"/>
                    </w:rPr>
                    <w:t xml:space="preserve"> </w:t>
                  </w:r>
                  <w:r w:rsidRPr="008B1134"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</w:rPr>
                    <w:t>ГАЗОВИМИ</w:t>
                  </w:r>
                  <w:r w:rsidRPr="008B1134"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  <w:lang w:val="uk-UA"/>
                    </w:rPr>
                    <w:t xml:space="preserve"> </w:t>
                  </w:r>
                  <w:r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</w:rPr>
                    <w:t>ПРИЛАДАМИ</w:t>
                  </w:r>
                  <w:r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  <w:lang w:val="uk-UA"/>
                    </w:rPr>
                    <w:t xml:space="preserve"> </w:t>
                  </w:r>
                  <w:r w:rsidRPr="008B1134">
                    <w:rPr>
                      <w:rFonts w:ascii="Bookman Old Style" w:eastAsia="Times New Roman" w:hAnsi="Bookman Old Style" w:cs="Times New Roman"/>
                      <w:b/>
                      <w:bCs/>
                      <w:color w:val="C00000"/>
                      <w:sz w:val="72"/>
                      <w:szCs w:val="72"/>
                    </w:rPr>
                    <w:t>В ПОБУТІ</w:t>
                  </w:r>
                </w:p>
              </w:txbxContent>
            </v:textbox>
          </v:shape>
        </w:pict>
      </w:r>
      <w:r w:rsidR="00DF0399"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2B4"/>
    <w:multiLevelType w:val="multilevel"/>
    <w:tmpl w:val="4250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22594"/>
    <w:multiLevelType w:val="multilevel"/>
    <w:tmpl w:val="B8AA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271C77"/>
    <w:multiLevelType w:val="hybridMultilevel"/>
    <w:tmpl w:val="45EE1DF8"/>
    <w:lvl w:ilvl="0" w:tplc="560EBE20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color w:val="3B3B3B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3BA2C52"/>
    <w:multiLevelType w:val="hybridMultilevel"/>
    <w:tmpl w:val="1BF01758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631C2"/>
    <w:multiLevelType w:val="hybridMultilevel"/>
    <w:tmpl w:val="7DF46BDC"/>
    <w:lvl w:ilvl="0" w:tplc="876EF4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84DBC"/>
    <w:multiLevelType w:val="hybridMultilevel"/>
    <w:tmpl w:val="15C23BE6"/>
    <w:lvl w:ilvl="0" w:tplc="657254D6">
      <w:numFmt w:val="bullet"/>
      <w:lvlText w:val="-"/>
      <w:lvlJc w:val="left"/>
      <w:pPr>
        <w:ind w:left="104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">
    <w:nsid w:val="5F5A4554"/>
    <w:multiLevelType w:val="hybridMultilevel"/>
    <w:tmpl w:val="F22E6052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F23E5"/>
    <w:multiLevelType w:val="multilevel"/>
    <w:tmpl w:val="94AC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217856"/>
    <w:multiLevelType w:val="hybridMultilevel"/>
    <w:tmpl w:val="7DB64956"/>
    <w:lvl w:ilvl="0" w:tplc="8E6E7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A2CBF"/>
    <w:multiLevelType w:val="hybridMultilevel"/>
    <w:tmpl w:val="5142BFE4"/>
    <w:lvl w:ilvl="0" w:tplc="440874B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FELayout/>
  </w:compat>
  <w:rsids>
    <w:rsidRoot w:val="002B6514"/>
    <w:rsid w:val="000160B2"/>
    <w:rsid w:val="00025A7E"/>
    <w:rsid w:val="00037AED"/>
    <w:rsid w:val="0004174C"/>
    <w:rsid w:val="00081292"/>
    <w:rsid w:val="000A294C"/>
    <w:rsid w:val="000C26A3"/>
    <w:rsid w:val="00103403"/>
    <w:rsid w:val="00152806"/>
    <w:rsid w:val="00167113"/>
    <w:rsid w:val="001708F5"/>
    <w:rsid w:val="0017421D"/>
    <w:rsid w:val="001B2B24"/>
    <w:rsid w:val="001D5E0C"/>
    <w:rsid w:val="001E54D0"/>
    <w:rsid w:val="00212BD6"/>
    <w:rsid w:val="00226B7F"/>
    <w:rsid w:val="00230F32"/>
    <w:rsid w:val="00245A60"/>
    <w:rsid w:val="00252145"/>
    <w:rsid w:val="00261EF4"/>
    <w:rsid w:val="002840F4"/>
    <w:rsid w:val="002925A3"/>
    <w:rsid w:val="002A74D8"/>
    <w:rsid w:val="002B4FC0"/>
    <w:rsid w:val="002B6514"/>
    <w:rsid w:val="002C2CD7"/>
    <w:rsid w:val="002E1B13"/>
    <w:rsid w:val="003127D5"/>
    <w:rsid w:val="00314A62"/>
    <w:rsid w:val="00331EAF"/>
    <w:rsid w:val="00342702"/>
    <w:rsid w:val="00347D71"/>
    <w:rsid w:val="003C44E6"/>
    <w:rsid w:val="003D5134"/>
    <w:rsid w:val="003E3FCF"/>
    <w:rsid w:val="003F3E15"/>
    <w:rsid w:val="00400385"/>
    <w:rsid w:val="004201C0"/>
    <w:rsid w:val="004422BD"/>
    <w:rsid w:val="004576C6"/>
    <w:rsid w:val="0048146C"/>
    <w:rsid w:val="004F05CF"/>
    <w:rsid w:val="004F6F67"/>
    <w:rsid w:val="005104AC"/>
    <w:rsid w:val="00512F93"/>
    <w:rsid w:val="00524C3F"/>
    <w:rsid w:val="00533A0C"/>
    <w:rsid w:val="00564893"/>
    <w:rsid w:val="005A39D1"/>
    <w:rsid w:val="005C1B62"/>
    <w:rsid w:val="005C7EFD"/>
    <w:rsid w:val="005E0CCE"/>
    <w:rsid w:val="00616A3C"/>
    <w:rsid w:val="00644B29"/>
    <w:rsid w:val="00652B66"/>
    <w:rsid w:val="006566AE"/>
    <w:rsid w:val="00665168"/>
    <w:rsid w:val="006672F9"/>
    <w:rsid w:val="00682AAC"/>
    <w:rsid w:val="006A4837"/>
    <w:rsid w:val="006B258A"/>
    <w:rsid w:val="00731C70"/>
    <w:rsid w:val="007776F2"/>
    <w:rsid w:val="007B735C"/>
    <w:rsid w:val="007D642F"/>
    <w:rsid w:val="00803EF0"/>
    <w:rsid w:val="008137BA"/>
    <w:rsid w:val="00822D1F"/>
    <w:rsid w:val="00832421"/>
    <w:rsid w:val="008649F6"/>
    <w:rsid w:val="00877163"/>
    <w:rsid w:val="00883769"/>
    <w:rsid w:val="00895397"/>
    <w:rsid w:val="008A0B36"/>
    <w:rsid w:val="008B1134"/>
    <w:rsid w:val="008E5706"/>
    <w:rsid w:val="008E7CB3"/>
    <w:rsid w:val="008F3C12"/>
    <w:rsid w:val="008F66D5"/>
    <w:rsid w:val="00951780"/>
    <w:rsid w:val="009929ED"/>
    <w:rsid w:val="00993988"/>
    <w:rsid w:val="009B2D0F"/>
    <w:rsid w:val="009F2C08"/>
    <w:rsid w:val="00A13DA7"/>
    <w:rsid w:val="00A64BA4"/>
    <w:rsid w:val="00A86E76"/>
    <w:rsid w:val="00AE3C40"/>
    <w:rsid w:val="00AF3184"/>
    <w:rsid w:val="00AF79EC"/>
    <w:rsid w:val="00B16ADD"/>
    <w:rsid w:val="00B2379E"/>
    <w:rsid w:val="00B64041"/>
    <w:rsid w:val="00C01B7F"/>
    <w:rsid w:val="00C21BC0"/>
    <w:rsid w:val="00C22EA6"/>
    <w:rsid w:val="00C27706"/>
    <w:rsid w:val="00C61E47"/>
    <w:rsid w:val="00C918A8"/>
    <w:rsid w:val="00CD41B8"/>
    <w:rsid w:val="00CD6D0F"/>
    <w:rsid w:val="00CD70D7"/>
    <w:rsid w:val="00CF6309"/>
    <w:rsid w:val="00D009CA"/>
    <w:rsid w:val="00D07325"/>
    <w:rsid w:val="00D157DD"/>
    <w:rsid w:val="00D31A14"/>
    <w:rsid w:val="00D3484F"/>
    <w:rsid w:val="00D53B59"/>
    <w:rsid w:val="00D6513D"/>
    <w:rsid w:val="00D726CF"/>
    <w:rsid w:val="00D955C4"/>
    <w:rsid w:val="00DE5291"/>
    <w:rsid w:val="00DE5323"/>
    <w:rsid w:val="00DF0399"/>
    <w:rsid w:val="00E20B88"/>
    <w:rsid w:val="00E20D24"/>
    <w:rsid w:val="00E43D3F"/>
    <w:rsid w:val="00E557F1"/>
    <w:rsid w:val="00EA7C58"/>
    <w:rsid w:val="00EB766E"/>
    <w:rsid w:val="00EE3500"/>
    <w:rsid w:val="00EF1056"/>
    <w:rsid w:val="00F22B71"/>
    <w:rsid w:val="00F3244C"/>
    <w:rsid w:val="00F621C7"/>
    <w:rsid w:val="00F90DF3"/>
    <w:rsid w:val="00F9765D"/>
    <w:rsid w:val="00FA5CBA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fc6"/>
      <o:colormenu v:ext="edit" fillcolor="none" stroke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95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  <w:style w:type="paragraph" w:styleId="a7">
    <w:name w:val="Normal (Web)"/>
    <w:basedOn w:val="a"/>
    <w:uiPriority w:val="99"/>
    <w:semiHidden/>
    <w:unhideWhenUsed/>
    <w:rsid w:val="002A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64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4041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95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Valeriy</cp:lastModifiedBy>
  <cp:revision>29</cp:revision>
  <dcterms:created xsi:type="dcterms:W3CDTF">2018-08-20T06:30:00Z</dcterms:created>
  <dcterms:modified xsi:type="dcterms:W3CDTF">2019-04-04T11:35:00Z</dcterms:modified>
</cp:coreProperties>
</file>