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right"/>
        <w:rPr>
          <w:b/>
          <w:b/>
          <w:i/>
          <w:i/>
        </w:rPr>
      </w:pPr>
      <w:bookmarkStart w:id="0" w:name="_GoBack"/>
      <w:bookmarkStart w:id="1" w:name="_GoBack"/>
      <w:bookmarkEnd w:id="1"/>
      <w:r>
        <w:rPr/>
      </w:r>
    </w:p>
    <w:tbl>
      <w:tblPr>
        <w:tblStyle w:val="a3"/>
        <w:tblW w:w="985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5"/>
      </w:tblGrid>
      <w:tr>
        <w:trPr/>
        <w:tc>
          <w:tcPr>
            <w:tcW w:w="9855" w:type="dxa"/>
            <w:tcBorders/>
            <w:shd w:color="auto" w:fill="BFBFBF" w:themeFill="background1" w:themeFillShade="bf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/>
            </w:r>
          </w:p>
        </w:tc>
      </w:tr>
      <w:tr>
        <w:trPr/>
        <w:tc>
          <w:tcPr>
            <w:tcW w:w="985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Примусове зняття з реєстрації члена сім’ї (колишнього члена сім’ї)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W w:w="9855" w:type="dxa"/>
            <w:tcBorders/>
            <w:shd w:color="auto" w:fill="BFBFBF" w:themeFill="background1" w:themeFillShade="bf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/>
            </w:r>
          </w:p>
        </w:tc>
      </w:tr>
      <w:tr>
        <w:trPr/>
        <w:tc>
          <w:tcPr>
            <w:tcW w:w="985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jc w:val="both"/>
              <w:rPr>
                <w:rStyle w:val="Strong"/>
                <w:rFonts w:cs="Times New Roman"/>
                <w:b w:val="false"/>
                <w:b w:val="false"/>
                <w:shd w:fill="FFFFFF" w:val="clear"/>
              </w:rPr>
            </w:pPr>
            <w:r>
              <w:rPr/>
              <w:t xml:space="preserve">         </w:t>
            </w:r>
            <w:r>
              <w:rPr>
                <w:rFonts w:cs="Times New Roman"/>
              </w:rPr>
              <w:t xml:space="preserve">Примусове зняття з реєстрації особи </w:t>
            </w:r>
            <w:r>
              <w:rPr>
                <w:rFonts w:cs="Times New Roman"/>
                <w:shd w:fill="FFFFFF" w:val="clear"/>
              </w:rPr>
              <w:t>здійснюється на підставі</w:t>
            </w:r>
            <w:r>
              <w:rPr>
                <w:rStyle w:val="Appleconvertedspace"/>
                <w:rFonts w:cs="Times New Roman"/>
                <w:shd w:fill="FFFFFF" w:val="clear"/>
              </w:rPr>
              <w:t> </w:t>
            </w:r>
            <w:r>
              <w:rPr>
                <w:rStyle w:val="Strong"/>
                <w:rFonts w:cs="Times New Roman"/>
                <w:shd w:fill="FFFFFF" w:val="clear"/>
              </w:rPr>
              <w:t>судового рішення</w:t>
            </w:r>
            <w:r>
              <w:rPr>
                <w:rFonts w:cs="Times New Roman"/>
                <w:b/>
                <w:shd w:fill="FFFFFF" w:val="clear"/>
              </w:rPr>
              <w:t>.  Позивачу необхідно</w:t>
            </w:r>
            <w:r>
              <w:rPr>
                <w:rFonts w:cs="Times New Roman"/>
                <w:shd w:fill="FFFFFF" w:val="clear"/>
              </w:rPr>
              <w:t xml:space="preserve"> подавати позов</w:t>
            </w:r>
            <w:r>
              <w:rPr>
                <w:rStyle w:val="Appleconvertedspace"/>
                <w:rFonts w:cs="Times New Roman"/>
                <w:b/>
                <w:shd w:fill="FFFFFF" w:val="clear"/>
              </w:rPr>
              <w:t> </w:t>
            </w:r>
            <w:r>
              <w:rPr>
                <w:rStyle w:val="Strong"/>
                <w:rFonts w:cs="Times New Roman"/>
                <w:shd w:fill="FFFFFF" w:val="clear"/>
              </w:rPr>
              <w:t>про визнання особи такою, що втратила право користування житловим приміщення та зняття з реєстрації.</w:t>
            </w:r>
          </w:p>
          <w:p>
            <w:pPr>
              <w:pStyle w:val="Normal"/>
              <w:spacing w:before="0" w:after="0"/>
              <w:jc w:val="both"/>
              <w:rPr>
                <w:rFonts w:cs="Times New Roman"/>
                <w:shd w:fill="FFFFFF" w:val="clear"/>
              </w:rPr>
            </w:pPr>
            <w:r>
              <w:rPr>
                <w:rFonts w:cs="Times New Roman"/>
                <w:shd w:fill="FFFFFF" w:val="clear"/>
              </w:rPr>
              <w:t xml:space="preserve">          </w:t>
            </w:r>
            <w:r>
              <w:rPr>
                <w:rFonts w:cs="Times New Roman"/>
                <w:shd w:fill="FFFFFF" w:val="clear"/>
              </w:rPr>
              <w:t>Позовна заява подається до суду за місцем знаходження житлового приміщення.</w:t>
            </w:r>
          </w:p>
          <w:p>
            <w:pPr>
              <w:pStyle w:val="Normal"/>
              <w:spacing w:before="0" w:after="0"/>
              <w:jc w:val="both"/>
              <w:rPr>
                <w:rStyle w:val="Style15"/>
                <w:rFonts w:cs="Times New Roman"/>
                <w:i w:val="false"/>
                <w:i w:val="false"/>
                <w:shd w:fill="FFFFFF" w:val="clear"/>
              </w:rPr>
            </w:pPr>
            <w:r>
              <w:rPr>
                <w:rStyle w:val="Style15"/>
                <w:rFonts w:cs="Times New Roman"/>
                <w:shd w:fill="FFFFFF" w:val="clear"/>
              </w:rPr>
              <w:t xml:space="preserve">         </w:t>
            </w:r>
            <w:r>
              <w:rPr>
                <w:rStyle w:val="Style15"/>
                <w:rFonts w:cs="Times New Roman"/>
                <w:shd w:fill="FFFFFF" w:val="clear"/>
              </w:rPr>
              <w:t xml:space="preserve">До позовної заяви необхідно долучити акти про відсутність зареєстрованої особи у місці реєстрації,  які складає представник балансоутримувача. Таких актів повинно бути не менше 3-х протягом 6 місяців у випадку, коли квартира не приватизована.  </w:t>
            </w:r>
          </w:p>
          <w:p>
            <w:pPr>
              <w:pStyle w:val="Normal"/>
              <w:shd w:val="clear" w:color="auto" w:fill="FFFFFF"/>
              <w:spacing w:lineRule="atLeast" w:line="335" w:before="0" w:after="171"/>
              <w:jc w:val="both"/>
              <w:rPr>
                <w:rStyle w:val="Style15"/>
                <w:rFonts w:cs="Times New Roman"/>
                <w:shd w:fill="FFFFFF" w:val="clear"/>
              </w:rPr>
            </w:pPr>
            <w:r>
              <w:rPr>
                <w:rStyle w:val="Style15"/>
                <w:rFonts w:cs="Times New Roman"/>
                <w:shd w:fill="FFFFFF" w:val="clear"/>
              </w:rPr>
              <w:t xml:space="preserve">          </w:t>
            </w:r>
            <w:r>
              <w:rPr>
                <w:rStyle w:val="Style15"/>
                <w:rFonts w:cs="Times New Roman"/>
                <w:shd w:fill="FFFFFF" w:val="clear"/>
              </w:rPr>
              <w:t>Правові основи  щодо звернення з таким позовом – ст. 71,72 Житлового кодексу України. Стаття 71 Житлового кодексу передбачає збереження права користування житловим приміщенням у разі відсутності зареєстрованої в ньому особи строком, який не перевищує 6 місяців у наступних випадках тимчасової відсутності наймача або членів його сім’ї</w:t>
            </w:r>
            <w:bookmarkStart w:id="2" w:name="o376"/>
            <w:bookmarkStart w:id="3" w:name="o375"/>
            <w:bookmarkEnd w:id="2"/>
            <w:bookmarkEnd w:id="3"/>
            <w:r>
              <w:rPr>
                <w:rStyle w:val="Style15"/>
                <w:rFonts w:cs="Times New Roman"/>
                <w:shd w:fill="FFFFFF" w:val="clear"/>
              </w:rPr>
              <w:t>:</w:t>
            </w:r>
          </w:p>
          <w:p>
            <w:pPr>
              <w:pStyle w:val="HTMLPreformatted"/>
              <w:spacing w:before="0" w:after="0"/>
              <w:rPr/>
            </w:pPr>
            <w:r>
              <w:rPr/>
            </w:r>
          </w:p>
          <w:p>
            <w:pPr>
              <w:pStyle w:val="NoSpacing"/>
              <w:spacing w:before="0" w:after="0"/>
              <w:jc w:val="both"/>
              <w:rPr/>
            </w:pPr>
            <w:bookmarkStart w:id="4" w:name="o378"/>
            <w:bookmarkEnd w:id="4"/>
            <w:r>
              <w:rPr/>
              <w:t xml:space="preserve">     </w:t>
            </w:r>
            <w:bookmarkStart w:id="5" w:name="o379"/>
            <w:bookmarkEnd w:id="5"/>
            <w:r>
              <w:rPr/>
              <w:t xml:space="preserve">1) призову на строкову військову службу або направлення на </w:t>
              <w:br/>
              <w:t xml:space="preserve">альтернативну (невійськову) службу, а також призову офіцерів із </w:t>
              <w:br/>
              <w:t xml:space="preserve">запасу на  військову  службу  на  строк до трьох років - протягом </w:t>
              <w:br/>
              <w:t xml:space="preserve">усього періоду проходження зазначеної військової служби; </w:t>
              <w:br/>
              <w:t xml:space="preserve">перебування на військовій  службі  прапорщиків,  мічманів і </w:t>
              <w:br/>
              <w:t xml:space="preserve">військовослужбовців надстрокової служби протягом перших п'яти </w:t>
              <w:br/>
              <w:t xml:space="preserve">років перебування на дійсній військовій службі; </w:t>
            </w:r>
          </w:p>
          <w:p>
            <w:pPr>
              <w:pStyle w:val="NoSpacing"/>
              <w:spacing w:before="0" w:after="0"/>
              <w:jc w:val="both"/>
              <w:rPr/>
            </w:pPr>
            <w:r>
              <w:rPr/>
              <w:t xml:space="preserve">            </w:t>
            </w:r>
            <w:r>
              <w:rPr/>
              <w:t xml:space="preserve">2)  тимчасового  виїзду  зпостійного  місця  проживання  за </w:t>
              <w:br/>
              <w:t xml:space="preserve">умовами  і  характером  роботи  або  у  зв'язку з навчанням (учні, </w:t>
              <w:br/>
              <w:t xml:space="preserve">студенти,  стажисти,  аспіранти тощо), у тому числі за кордоном, - </w:t>
              <w:br/>
              <w:t xml:space="preserve">протягом усього часу виконання цієї роботи або навчання; </w:t>
              <w:br/>
            </w:r>
            <w:bookmarkStart w:id="6" w:name="o380"/>
            <w:bookmarkEnd w:id="6"/>
            <w:r>
              <w:rPr/>
              <w:t xml:space="preserve">     3)  влаштування  дитини  (дітей)  на  виховання  до  родичів, </w:t>
              <w:br/>
              <w:t xml:space="preserve">опікуна  чи  піклувальника,  у  прийомну  сім'ю,  дитячий  будинок </w:t>
              <w:br/>
              <w:t xml:space="preserve">сімейного  типу,  заклад  для  дітей-сиріт  та  дітей, позбавлених </w:t>
              <w:br/>
              <w:t xml:space="preserve">батьківського  піклування, - протягом усього часу їх перебування у </w:t>
              <w:br/>
              <w:t xml:space="preserve">родичів,  опікуна  чи  піклувальника,  прийомній  сім'ї,  дитячому </w:t>
              <w:br/>
              <w:t xml:space="preserve">будинку   сімейного   типу,  закладі  для  дітей-сиріт  та  дітей, </w:t>
              <w:br/>
              <w:t>позбавлених батьківського піклування.</w:t>
              <w:br/>
            </w:r>
            <w:bookmarkStart w:id="7" w:name="o381"/>
            <w:bookmarkEnd w:id="7"/>
            <w:r>
              <w:rPr/>
              <w:t xml:space="preserve">     Якщо з будинку,  квартири (їх частини) вибула дитина (діти) і </w:t>
              <w:br/>
              <w:t xml:space="preserve">членів її (їх) сім'ї не залишилося,  це житло може бути надано  за </w:t>
              <w:br/>
              <w:t xml:space="preserve">договором   оренди   іншому   громадянину   до  закінчення  строку </w:t>
              <w:br/>
              <w:t xml:space="preserve">перебування дитини (дітей) у дитячому закладі  або  до  досягнення </w:t>
              <w:br/>
              <w:t xml:space="preserve">нею  (ними)  повноліття  і  повернення  від  родичів,  опікуна  чи </w:t>
              <w:br/>
              <w:t xml:space="preserve">піклувальника,  в окремих випадках  -  до  закінчення  навчання  в </w:t>
              <w:br/>
              <w:t xml:space="preserve">загальноосвітніх  навчальних закладах усіх типів і форм власності, </w:t>
              <w:br/>
              <w:t xml:space="preserve">у тому числі для громадян,  які потребують соціальної допомоги  та </w:t>
              <w:br/>
              <w:t xml:space="preserve">соціальної  реабілітації,  а також в професійно-технічних чи вищих </w:t>
              <w:br/>
              <w:t xml:space="preserve">навчальних закладах або до закінчення  строку  служби  у  Збройних </w:t>
              <w:br/>
              <w:t xml:space="preserve">Силах  України  та інших військових формуваннях; </w:t>
              <w:br/>
            </w:r>
          </w:p>
          <w:p>
            <w:pPr>
              <w:pStyle w:val="NoSpacing"/>
              <w:spacing w:before="0" w:after="0"/>
              <w:jc w:val="both"/>
              <w:rPr/>
            </w:pPr>
            <w:bookmarkStart w:id="8" w:name="o382"/>
            <w:bookmarkEnd w:id="8"/>
            <w:r>
              <w:rPr/>
              <w:t xml:space="preserve">     </w:t>
            </w:r>
            <w:r>
              <w:rPr/>
              <w:t xml:space="preserve">4)  виїзду  у  зв'язку  з  виконанням  обов'язків  опікуна чи </w:t>
              <w:br/>
              <w:t xml:space="preserve">піклувальника,  наданням батькам-вихователям житлового будинку або </w:t>
              <w:br/>
              <w:t xml:space="preserve">багатокімнатної  квартири для створення дитячого будинку сімейного </w:t>
              <w:br/>
              <w:t xml:space="preserve">типу - протягом усього часу виконання таких обов'язків; </w:t>
              <w:br/>
            </w:r>
          </w:p>
          <w:p>
            <w:pPr>
              <w:pStyle w:val="NoSpacing"/>
              <w:spacing w:before="0" w:after="0"/>
              <w:jc w:val="both"/>
              <w:rPr/>
            </w:pPr>
            <w:bookmarkStart w:id="9" w:name="o383"/>
            <w:bookmarkEnd w:id="9"/>
            <w:r>
              <w:rPr/>
              <w:t xml:space="preserve">     </w:t>
            </w:r>
            <w:r>
              <w:rPr/>
              <w:t xml:space="preserve">5) влаштування    непрацездатних    осіб,    у   тому   числі </w:t>
              <w:br/>
              <w:t xml:space="preserve">дітей-інвалідів,  у будинку-інтернаті та іншій установі соціальної </w:t>
              <w:br/>
              <w:t xml:space="preserve">допомоги  -  протягом  усього  часу  перебування  в них; </w:t>
              <w:br/>
            </w:r>
          </w:p>
          <w:p>
            <w:pPr>
              <w:pStyle w:val="NoSpacing"/>
              <w:spacing w:before="0" w:after="0"/>
              <w:jc w:val="both"/>
              <w:rPr/>
            </w:pPr>
            <w:bookmarkStart w:id="10" w:name="o384"/>
            <w:bookmarkEnd w:id="10"/>
            <w:r>
              <w:rPr/>
              <w:t xml:space="preserve">     </w:t>
            </w:r>
            <w:r>
              <w:rPr/>
              <w:t xml:space="preserve">6) виїзду  для   лікування    в    лікувально-профілактичному </w:t>
              <w:br/>
              <w:t xml:space="preserve">закладі - протягом усього часу перебування в ньому; </w:t>
              <w:br/>
            </w:r>
          </w:p>
          <w:p>
            <w:pPr>
              <w:pStyle w:val="NoSpacing"/>
              <w:spacing w:before="0" w:after="0"/>
              <w:jc w:val="both"/>
              <w:rPr/>
            </w:pPr>
            <w:bookmarkStart w:id="11" w:name="o385"/>
            <w:bookmarkEnd w:id="11"/>
            <w:r>
              <w:rPr/>
              <w:t xml:space="preserve">     </w:t>
            </w:r>
            <w:r>
              <w:rPr/>
              <w:t xml:space="preserve">7) взяття під варту або засудження до арешту, обмеження волі, </w:t>
              <w:br/>
              <w:t xml:space="preserve">позбавлення  волі  на  певний  строк чи довічне позбавлення волі - </w:t>
              <w:br/>
              <w:t xml:space="preserve">протягом   усього  часу  перебування  під  вартою  або  відбування </w:t>
              <w:br/>
              <w:t xml:space="preserve">покарання,  якщо в цьому будинку, квартирі (їх частині) залишилися </w:t>
              <w:br/>
              <w:t xml:space="preserve">проживати інші члени сім'ї. </w:t>
              <w:br/>
            </w:r>
          </w:p>
          <w:p>
            <w:pPr>
              <w:pStyle w:val="HTMLPreformatted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bookmarkStart w:id="12" w:name="o386"/>
            <w:bookmarkEnd w:id="12"/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    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Якщо в будинку, квартирі (їх частині) не залишилися проживати </w:t>
              <w:br/>
              <w:t xml:space="preserve">інші  члени сім'ї наймача,  це житло може бути надано за договором </w:t>
              <w:br/>
              <w:t xml:space="preserve">оренди (найму) у встановленому законом порядку іншому  громадянину </w:t>
              <w:br/>
              <w:t xml:space="preserve">до  звільнення  таких  осіб  з-під  варти  або  до  відбуття  ними </w:t>
              <w:br/>
              <w:t xml:space="preserve">покарання. </w:t>
              <w:br/>
            </w:r>
          </w:p>
          <w:p>
            <w:pPr>
              <w:pStyle w:val="HTMLPreformatted"/>
              <w:spacing w:before="0" w:after="0"/>
              <w:jc w:val="both"/>
              <w:rPr>
                <w:rFonts w:ascii="Calibri" w:hAnsi="Calibri" w:asciiTheme="minorHAnsi" w:hAnsiTheme="minorHAnsi"/>
                <w:sz w:val="22"/>
                <w:szCs w:val="22"/>
              </w:rPr>
            </w:pPr>
            <w:bookmarkStart w:id="13" w:name="o387"/>
            <w:bookmarkEnd w:id="13"/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    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У  випадках,  передбачених  пунктами 1 - 7 цієї статті, право </w:t>
              <w:br/>
              <w:t xml:space="preserve">користування  жилим приміщенням зберігається за відсутнім протягом </w:t>
              <w:br/>
              <w:t xml:space="preserve">шести  місяців з дня закінчення строку, зазначеного у відповідному </w:t>
              <w:br/>
              <w:t xml:space="preserve">пункті. </w:t>
            </w:r>
          </w:p>
          <w:p>
            <w:pPr>
              <w:pStyle w:val="NoSpacing"/>
              <w:spacing w:before="0" w:after="0"/>
              <w:jc w:val="both"/>
              <w:rPr/>
            </w:pPr>
            <w:r>
              <w:rPr/>
              <w:t xml:space="preserve">            </w:t>
            </w:r>
            <w:bookmarkStart w:id="14" w:name="o388"/>
            <w:bookmarkEnd w:id="14"/>
            <w:r>
              <w:rPr/>
              <w:t xml:space="preserve">Якщо наймач або члени його сім'ї були відсутні з поважних </w:t>
              <w:br/>
              <w:t xml:space="preserve">причин понад шість місяців, цей строк за заявою відсутнього може </w:t>
              <w:br/>
              <w:t xml:space="preserve">бути продовжено наймодавцем, а в разі спору - судом. </w:t>
            </w:r>
          </w:p>
          <w:p>
            <w:pPr>
              <w:pStyle w:val="HTMLPreformatted"/>
              <w:spacing w:before="0" w:after="0"/>
              <w:rPr/>
            </w:pPr>
            <w:bookmarkStart w:id="15" w:name="o389"/>
            <w:bookmarkEnd w:id="15"/>
            <w:r>
              <w:rPr>
                <w:i/>
                <w:iCs/>
              </w:rPr>
              <w:t xml:space="preserve"> </w:t>
            </w:r>
          </w:p>
          <w:p>
            <w:pPr>
              <w:pStyle w:val="HTMLPreformatted"/>
              <w:spacing w:before="0" w:after="0"/>
              <w:rPr>
                <w:rFonts w:ascii="Calibri" w:hAnsi="Calibri" w:asciiTheme="minorHAnsi" w:hAnsiTheme="minorHAnsi"/>
                <w:sz w:val="22"/>
                <w:szCs w:val="22"/>
              </w:rPr>
            </w:pPr>
            <w:bookmarkStart w:id="16" w:name="o390"/>
            <w:bookmarkEnd w:id="16"/>
            <w:r>
              <w:rPr/>
              <w:t xml:space="preserve">  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Відповідно до статті  72 Житлового Кодексу України </w:t>
            </w:r>
            <w:bookmarkStart w:id="17" w:name="o391"/>
            <w:bookmarkEnd w:id="17"/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    Визнання особи такою,  що втратила право  користування  жилим приміщенням  внаслідок  відсутності  цієї  особи понад встановлені строки, провадиться в судовому порядку. </w:t>
            </w:r>
          </w:p>
          <w:p>
            <w:pPr>
              <w:pStyle w:val="NoSpacing"/>
              <w:spacing w:before="0" w:after="0"/>
              <w:jc w:val="both"/>
              <w:rPr>
                <w:lang w:eastAsia="uk-UA"/>
              </w:rPr>
            </w:pPr>
            <w:r>
              <w:rPr>
                <w:lang w:eastAsia="uk-UA"/>
              </w:rPr>
              <w:t xml:space="preserve">     </w:t>
            </w:r>
            <w:r>
              <w:rPr>
                <w:lang w:eastAsia="uk-UA"/>
              </w:rPr>
              <w:t xml:space="preserve">Якщо приміщення, в якому зареєстровано особа, що в ньому не проживає, належить позивачу на праві власності, він звертається до суду із позовом про усунення перешкод у користуванні власністю шляхом виселення відповідача.  </w:t>
            </w:r>
          </w:p>
          <w:p>
            <w:pPr>
              <w:pStyle w:val="NoSpacing"/>
              <w:spacing w:before="0" w:after="0"/>
              <w:jc w:val="both"/>
              <w:rPr/>
            </w:pPr>
            <w:r>
              <w:rPr/>
              <w:t xml:space="preserve">        </w:t>
            </w:r>
            <w:r>
              <w:rPr/>
              <w:t>Зг</w:t>
            </w:r>
            <w:r>
              <w:rPr>
                <w:lang w:eastAsia="uk-UA"/>
              </w:rPr>
              <w:t xml:space="preserve">ідно зі статтею  ст. 405 Цивільного кодексу України </w:t>
            </w:r>
            <w:bookmarkStart w:id="18" w:name="n2157"/>
            <w:bookmarkEnd w:id="18"/>
            <w:r>
              <w:rPr/>
              <w:t>члени сім'ї власника житла, які проживають разом з ним, мають право на користування цим житлом відповідно до закону.</w:t>
            </w:r>
            <w:bookmarkStart w:id="19" w:name="n2159"/>
            <w:bookmarkStart w:id="20" w:name="n2158"/>
            <w:bookmarkEnd w:id="19"/>
            <w:bookmarkEnd w:id="20"/>
            <w:r>
              <w:rPr/>
              <w:t xml:space="preserve"> Однак, член сім'ї власника житла втрачає право на користування цим житлом у разі відсутності члена сім'ї без поважних причин понад один рік, якщо інше не встановлено домовленістю між ним і власником житла або законом.</w:t>
            </w:r>
          </w:p>
        </w:tc>
      </w:tr>
      <w:tr>
        <w:trPr/>
        <w:tc>
          <w:tcPr>
            <w:tcW w:w="9855" w:type="dxa"/>
            <w:tcBorders/>
            <w:shd w:color="auto" w:fill="BFBFBF" w:themeFill="background1" w:themeFillShade="bf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/>
            </w:r>
          </w:p>
        </w:tc>
      </w:tr>
      <w:tr>
        <w:trPr>
          <w:trHeight w:val="2020" w:hRule="atLeast"/>
        </w:trPr>
        <w:tc>
          <w:tcPr>
            <w:tcW w:w="9855" w:type="dxa"/>
            <w:tcBorders/>
            <w:shd w:fill="auto" w:val="clear"/>
            <w:tcMar>
              <w:left w:w="108" w:type="dxa"/>
            </w:tcMar>
          </w:tcPr>
          <w:p>
            <w:pPr>
              <w:pStyle w:val="Style21"/>
              <w:spacing w:before="0" w:after="0"/>
              <w:jc w:val="both"/>
              <w:rPr>
                <w:rFonts w:ascii="Calibri" w:hAnsi="Calibri" w:cs="Times New Roman" w:asciiTheme="minorHAnsi" w:hAnsiTheme="minorHAnsi"/>
                <w:sz w:val="22"/>
                <w:szCs w:val="22"/>
              </w:rPr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850" w:header="0" w:top="284" w:footer="0" w:bottom="85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uk-U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f973d5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793e13"/>
    <w:rPr/>
  </w:style>
  <w:style w:type="character" w:styleId="Strong">
    <w:name w:val="Strong"/>
    <w:basedOn w:val="DefaultParagraphFont"/>
    <w:uiPriority w:val="22"/>
    <w:qFormat/>
    <w:rsid w:val="00793e13"/>
    <w:rPr>
      <w:b/>
      <w:bCs/>
    </w:rPr>
  </w:style>
  <w:style w:type="character" w:styleId="Style15">
    <w:name w:val="Выделение"/>
    <w:basedOn w:val="DefaultParagraphFont"/>
    <w:uiPriority w:val="20"/>
    <w:qFormat/>
    <w:rsid w:val="00793e13"/>
    <w:rPr>
      <w:i/>
      <w:iCs/>
    </w:rPr>
  </w:style>
  <w:style w:type="character" w:styleId="HTML" w:customStyle="1">
    <w:name w:val="Стандартний HTML Знак"/>
    <w:basedOn w:val="DefaultParagraphFont"/>
    <w:link w:val="HTML"/>
    <w:uiPriority w:val="99"/>
    <w:semiHidden/>
    <w:qFormat/>
    <w:rsid w:val="0004799c"/>
    <w:rPr>
      <w:rFonts w:ascii="Courier New" w:hAnsi="Courier New" w:eastAsia="Times New Roman" w:cs="Courier New"/>
      <w:sz w:val="20"/>
      <w:szCs w:val="20"/>
      <w:lang w:eastAsia="uk-UA"/>
    </w:rPr>
  </w:style>
  <w:style w:type="character" w:styleId="Rvts9" w:customStyle="1">
    <w:name w:val="rvts9"/>
    <w:basedOn w:val="DefaultParagraphFont"/>
    <w:qFormat/>
    <w:rsid w:val="0038747f"/>
    <w:rPr/>
  </w:style>
  <w:style w:type="character" w:styleId="ListLabel1">
    <w:name w:val="ListLabel 1"/>
    <w:qFormat/>
    <w:rPr>
      <w:rFonts w:eastAsia="Calibri" w:cs=""/>
    </w:rPr>
  </w:style>
  <w:style w:type="character" w:styleId="ListLabel2">
    <w:name w:val="ListLabel 2"/>
    <w:qFormat/>
    <w:rPr>
      <w:rFonts w:cs="Courier New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Arial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f973d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paragraph" w:styleId="Style21" w:customStyle="1">
    <w:name w:val="Содержимое таблицы"/>
    <w:basedOn w:val="Normal"/>
    <w:qFormat/>
    <w:rsid w:val="00793e13"/>
    <w:pPr>
      <w:widowControl w:val="false"/>
      <w:suppressLineNumbers/>
      <w:suppressAutoHyphens w:val="true"/>
      <w:spacing w:lineRule="auto" w:line="240" w:before="0" w:after="0"/>
      <w:textAlignment w:val="baseline"/>
    </w:pPr>
    <w:rPr>
      <w:rFonts w:ascii="Liberation Serif" w:hAnsi="Liberation Serif" w:eastAsia="SimSun" w:cs="Mangal"/>
      <w:sz w:val="24"/>
      <w:szCs w:val="24"/>
      <w:lang w:eastAsia="zh-CN" w:bidi="hi-IN"/>
    </w:rPr>
  </w:style>
  <w:style w:type="paragraph" w:styleId="HTMLPreformatted">
    <w:name w:val="HTML Preformatted"/>
    <w:basedOn w:val="Normal"/>
    <w:link w:val="HTML0"/>
    <w:uiPriority w:val="99"/>
    <w:semiHidden/>
    <w:unhideWhenUsed/>
    <w:qFormat/>
    <w:rsid w:val="0004799c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uk-UA"/>
    </w:rPr>
  </w:style>
  <w:style w:type="paragraph" w:styleId="ListParagraph">
    <w:name w:val="List Paragraph"/>
    <w:basedOn w:val="Normal"/>
    <w:uiPriority w:val="34"/>
    <w:qFormat/>
    <w:rsid w:val="0004799c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04799c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uk-UA" w:eastAsia="en-US" w:bidi="ar-SA"/>
    </w:rPr>
  </w:style>
  <w:style w:type="paragraph" w:styleId="Rvps2" w:customStyle="1">
    <w:name w:val="rvps2"/>
    <w:basedOn w:val="Normal"/>
    <w:qFormat/>
    <w:rsid w:val="0038747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637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Application>LibreOffice/4.4.3.2$Windows_x86 LibreOffice_project/88805f81e9fe61362df02b9941de8e38a9b5fd16</Application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2015-09-14T16:18:00Z</dcterms:created>
  <dc:creator>КИЗИЦЬКА Надія</dc:creator>
  <dc:language>uk-UA</dc:language>
  <dcterms:modified xsi:type="dcterms:W3CDTF">2019-12-26T11:09:37Z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