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8DEA" w14:textId="513850F2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ind w:left="10206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Розпорядження начальника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Айдарської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селищної військової адміністрації </w:t>
      </w:r>
      <w:r w:rsidRPr="00B52A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Старобільського району Луганської області</w:t>
      </w:r>
    </w:p>
    <w:p w14:paraId="73412711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2A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 червня 2025 р. №172-о</w:t>
      </w:r>
    </w:p>
    <w:p w14:paraId="2584A7F2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2BB0A0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23CF6E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52A4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Виконання ПЛАН</w:t>
      </w:r>
      <w:r w:rsidRPr="00B52A4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 заходів </w:t>
      </w:r>
      <w:r w:rsidRPr="00B52A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на 2025-2026 роки з реалізації Національної стратегії із створення </w:t>
      </w:r>
      <w:proofErr w:type="spellStart"/>
      <w:r w:rsidRPr="00B52A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безбар’єрного</w:t>
      </w:r>
      <w:proofErr w:type="spellEnd"/>
      <w:r w:rsidRPr="00B52A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простору в Україні на період до 2030 року </w:t>
      </w:r>
      <w:proofErr w:type="spellStart"/>
      <w:r w:rsidRPr="00B52A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Айдарської</w:t>
      </w:r>
      <w:proofErr w:type="spellEnd"/>
      <w:r w:rsidRPr="00B52A4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селищної військової адміністрації Старобільського району Луганської області у 2025 році</w:t>
      </w:r>
    </w:p>
    <w:p w14:paraId="38D9789E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837"/>
        <w:gridCol w:w="19"/>
        <w:gridCol w:w="2657"/>
        <w:gridCol w:w="36"/>
        <w:gridCol w:w="2078"/>
        <w:gridCol w:w="19"/>
        <w:gridCol w:w="2514"/>
        <w:gridCol w:w="4968"/>
      </w:tblGrid>
      <w:tr w:rsidR="00B52A44" w:rsidRPr="00B52A44" w14:paraId="798C2BB8" w14:textId="77777777" w:rsidTr="00782623">
        <w:trPr>
          <w:jc w:val="center"/>
        </w:trPr>
        <w:tc>
          <w:tcPr>
            <w:tcW w:w="2856" w:type="dxa"/>
            <w:gridSpan w:val="2"/>
          </w:tcPr>
          <w:p w14:paraId="09F50E15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Найменування завдання</w:t>
            </w:r>
          </w:p>
        </w:tc>
        <w:tc>
          <w:tcPr>
            <w:tcW w:w="2657" w:type="dxa"/>
          </w:tcPr>
          <w:p w14:paraId="1929F67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Найменування заходу</w:t>
            </w:r>
          </w:p>
        </w:tc>
        <w:tc>
          <w:tcPr>
            <w:tcW w:w="2114" w:type="dxa"/>
            <w:gridSpan w:val="2"/>
          </w:tcPr>
          <w:p w14:paraId="79E063CE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Термін реалізації</w:t>
            </w:r>
          </w:p>
        </w:tc>
        <w:tc>
          <w:tcPr>
            <w:tcW w:w="2533" w:type="dxa"/>
            <w:gridSpan w:val="2"/>
          </w:tcPr>
          <w:p w14:paraId="3061C15C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Відповідальні за виконання</w:t>
            </w:r>
          </w:p>
          <w:p w14:paraId="3143B31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14:paraId="0D39B2C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Індикатор виконання</w:t>
            </w:r>
          </w:p>
        </w:tc>
      </w:tr>
      <w:tr w:rsidR="00B52A44" w:rsidRPr="00B52A44" w14:paraId="7E4B2973" w14:textId="77777777" w:rsidTr="00782623">
        <w:trPr>
          <w:jc w:val="center"/>
        </w:trPr>
        <w:tc>
          <w:tcPr>
            <w:tcW w:w="15128" w:type="dxa"/>
            <w:gridSpan w:val="8"/>
          </w:tcPr>
          <w:p w14:paraId="1176313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Напрям: </w:t>
            </w:r>
            <w:r w:rsidRPr="00B52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Інформаційна </w:t>
            </w:r>
            <w:proofErr w:type="spellStart"/>
            <w:r w:rsidRPr="00B52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B52A44" w:rsidRPr="00B52A44" w14:paraId="303223C1" w14:textId="77777777" w:rsidTr="00782623">
        <w:trPr>
          <w:jc w:val="center"/>
        </w:trPr>
        <w:tc>
          <w:tcPr>
            <w:tcW w:w="15128" w:type="dxa"/>
            <w:gridSpan w:val="8"/>
          </w:tcPr>
          <w:p w14:paraId="24822780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Стратегічна ціль:  Публічна інформація суб’єктів владних повноважень є доступною для кожного у різних форматах</w:t>
            </w:r>
          </w:p>
        </w:tc>
      </w:tr>
      <w:tr w:rsidR="00B52A44" w:rsidRPr="00B52A44" w14:paraId="4F004B80" w14:textId="77777777" w:rsidTr="00782623">
        <w:trPr>
          <w:jc w:val="center"/>
        </w:trPr>
        <w:tc>
          <w:tcPr>
            <w:tcW w:w="2856" w:type="dxa"/>
            <w:gridSpan w:val="2"/>
          </w:tcPr>
          <w:p w14:paraId="0E927D2E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Запровадження механізму, що забезпечує рівний доступ до носіїв інформації для осіб з порушеннями слуху при зверненнях до суб’єктів владних повноважень</w:t>
            </w:r>
          </w:p>
        </w:tc>
        <w:tc>
          <w:tcPr>
            <w:tcW w:w="2657" w:type="dxa"/>
          </w:tcPr>
          <w:p w14:paraId="24D90DED" w14:textId="77777777" w:rsidR="00B52A44" w:rsidRPr="00B52A44" w:rsidRDefault="00B52A44" w:rsidP="00B52A44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Підготовлення роздаткових матеріалів та брошури в легкому для читання форматі</w:t>
            </w:r>
          </w:p>
          <w:p w14:paraId="35F80A20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A93CFA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14:paraId="02950403" w14:textId="77777777" w:rsidR="00B52A44" w:rsidRPr="00B52A44" w:rsidRDefault="00B52A44" w:rsidP="00B52A44">
            <w:pPr>
              <w:widowControl w:val="0"/>
              <w:autoSpaceDE w:val="0"/>
              <w:autoSpaceDN w:val="0"/>
              <w:ind w:left="-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  <w:p w14:paraId="29C79B9E" w14:textId="77777777" w:rsidR="00B52A44" w:rsidRPr="00B52A44" w:rsidRDefault="00B52A44" w:rsidP="00B52A44">
            <w:pPr>
              <w:widowControl w:val="0"/>
              <w:autoSpaceDE w:val="0"/>
              <w:autoSpaceDN w:val="0"/>
              <w:ind w:left="-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9A9BC8A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2FB2D732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</w:pPr>
            <w:r w:rsidRPr="00B52A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Відділ документального забезпечення, комунікацій з громадськістю та інформаційної політики </w:t>
            </w:r>
            <w:proofErr w:type="spellStart"/>
            <w:r w:rsidRPr="00B52A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Айдарської</w:t>
            </w:r>
            <w:proofErr w:type="spellEnd"/>
            <w:r w:rsidRPr="00B52A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 xml:space="preserve">  СВА. </w:t>
            </w:r>
          </w:p>
          <w:p w14:paraId="7AF66391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Відділ соціального захисту населення  Новопсковської с/р</w:t>
            </w:r>
          </w:p>
        </w:tc>
        <w:tc>
          <w:tcPr>
            <w:tcW w:w="4968" w:type="dxa"/>
          </w:tcPr>
          <w:p w14:paraId="595699AD" w14:textId="77777777" w:rsidR="00B52A44" w:rsidRPr="00B52A44" w:rsidRDefault="00B52A44" w:rsidP="00B52A44">
            <w:pPr>
              <w:widowControl w:val="0"/>
              <w:autoSpaceDE w:val="0"/>
              <w:autoSpaceDN w:val="0"/>
              <w:ind w:left="12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52A4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Офіційний сайт </w:t>
            </w:r>
            <w:proofErr w:type="spellStart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СВА </w:t>
            </w:r>
          </w:p>
          <w:p w14:paraId="6A52602E" w14:textId="77777777" w:rsidR="00B52A44" w:rsidRPr="00B52A44" w:rsidRDefault="00B52A44" w:rsidP="00B52A44">
            <w:pPr>
              <w:widowControl w:val="0"/>
              <w:autoSpaceDE w:val="0"/>
              <w:autoSpaceDN w:val="0"/>
              <w:ind w:left="120"/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52A4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>приведено у відповідність до вимог доступності інформації, що оприлюднюється суб’єктами владних повноважень. Сайт має налаштування для зручного читання особами з порушеннями зору.</w:t>
            </w:r>
          </w:p>
          <w:p w14:paraId="7540B8D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Громадяни мають можливість отримати інформацію про діяльність </w:t>
            </w:r>
            <w:proofErr w:type="spellStart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СВА та надати запити та отримати інформацію у зручному для них форматі.</w:t>
            </w:r>
          </w:p>
        </w:tc>
      </w:tr>
      <w:tr w:rsidR="00B52A44" w:rsidRPr="00B52A44" w14:paraId="493A967F" w14:textId="77777777" w:rsidTr="00782623">
        <w:trPr>
          <w:jc w:val="center"/>
        </w:trPr>
        <w:tc>
          <w:tcPr>
            <w:tcW w:w="2856" w:type="dxa"/>
            <w:gridSpan w:val="2"/>
            <w:vMerge w:val="restart"/>
          </w:tcPr>
          <w:p w14:paraId="595D5247" w14:textId="77777777" w:rsidR="00B52A44" w:rsidRPr="00B52A44" w:rsidRDefault="00B52A44" w:rsidP="00B52A44">
            <w:pPr>
              <w:widowControl w:val="0"/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Підвищення обізнаності серед працівників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селищної військової адміністрації та населення громади про важливість доступності та рівних можливостей </w:t>
            </w: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для людей з різними комунікативними порушеннями.</w:t>
            </w:r>
          </w:p>
        </w:tc>
        <w:tc>
          <w:tcPr>
            <w:tcW w:w="2657" w:type="dxa"/>
          </w:tcPr>
          <w:p w14:paraId="6C2A5365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52A4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2.1. Проведення навчання щодо </w:t>
            </w:r>
          </w:p>
          <w:p w14:paraId="2ECE2F38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доступності та рівних можливостей для людей з різними комунікативними порушеннями</w:t>
            </w:r>
          </w:p>
        </w:tc>
        <w:tc>
          <w:tcPr>
            <w:tcW w:w="2114" w:type="dxa"/>
            <w:gridSpan w:val="2"/>
          </w:tcPr>
          <w:p w14:paraId="36F655FB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533" w:type="dxa"/>
            <w:gridSpan w:val="2"/>
            <w:vAlign w:val="center"/>
          </w:tcPr>
          <w:p w14:paraId="234D417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Сектор кадрового забезпечення Новопсковської с/р, відділ комунікацій з громадськістю Новопсковської с/р</w:t>
            </w:r>
          </w:p>
        </w:tc>
        <w:tc>
          <w:tcPr>
            <w:tcW w:w="4968" w:type="dxa"/>
          </w:tcPr>
          <w:p w14:paraId="65D576C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Забезпечено організацію та проведення інформаційно-просвітницької онлайн кампанії «Україна без бар’єрів» у форматі поширення інформації про освітній </w:t>
            </w:r>
            <w:r w:rsidRPr="00B52A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серіал «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Безбар’єрна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грамотність»</w:t>
            </w: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  на інформаційних ресурсах </w:t>
            </w:r>
            <w:proofErr w:type="spellStart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 СВА (сайт, сторінки в соціальних мережах тощо)</w:t>
            </w:r>
          </w:p>
        </w:tc>
      </w:tr>
      <w:tr w:rsidR="00B52A44" w:rsidRPr="00B52A44" w14:paraId="12CFFF0E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67AC56AF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9865B8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2.2. Проведення роботи </w:t>
            </w: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серед працівників, які здійснюють прийом громадян в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ХАБах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щодо культури та особливості спілкування з особами з комунікаційними порушеннями</w:t>
            </w:r>
          </w:p>
        </w:tc>
        <w:tc>
          <w:tcPr>
            <w:tcW w:w="2114" w:type="dxa"/>
            <w:gridSpan w:val="2"/>
          </w:tcPr>
          <w:p w14:paraId="12722FB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2025-2026</w:t>
            </w:r>
          </w:p>
        </w:tc>
        <w:tc>
          <w:tcPr>
            <w:tcW w:w="2533" w:type="dxa"/>
            <w:gridSpan w:val="2"/>
          </w:tcPr>
          <w:p w14:paraId="419D925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Перший заступник  </w:t>
            </w: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Новопсковського селищного голови</w:t>
            </w:r>
          </w:p>
        </w:tc>
        <w:tc>
          <w:tcPr>
            <w:tcW w:w="4968" w:type="dxa"/>
          </w:tcPr>
          <w:p w14:paraId="5503EE0B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Пройшли навчання 2 особи</w:t>
            </w:r>
          </w:p>
        </w:tc>
      </w:tr>
      <w:tr w:rsidR="00B52A44" w:rsidRPr="00B52A44" w14:paraId="50495924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50787482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81A707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2.3. Розміщення на офіційних сайтах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СВА перелік послуг, які надаються  ветеранам</w:t>
            </w:r>
          </w:p>
        </w:tc>
        <w:tc>
          <w:tcPr>
            <w:tcW w:w="2114" w:type="dxa"/>
            <w:gridSpan w:val="2"/>
          </w:tcPr>
          <w:p w14:paraId="6958C1B8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33" w:type="dxa"/>
            <w:gridSpan w:val="2"/>
          </w:tcPr>
          <w:p w14:paraId="0D0C96CC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Відділ соціального захисту населення, відділ комунікацій з громадськістю Новопсковської с/р</w:t>
            </w:r>
          </w:p>
        </w:tc>
        <w:tc>
          <w:tcPr>
            <w:tcW w:w="4968" w:type="dxa"/>
          </w:tcPr>
          <w:p w14:paraId="3701D99D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D063D24" w14:textId="77777777" w:rsidR="00B52A44" w:rsidRPr="00B52A44" w:rsidRDefault="00B97C69" w:rsidP="00B52A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" w:history="1">
              <w:r w:rsidR="00B52A44" w:rsidRPr="00B52A44">
                <w:rPr>
                  <w:rFonts w:ascii="Times New Roman" w:eastAsiaTheme="majorEastAsia" w:hAnsi="Times New Roman"/>
                  <w:sz w:val="20"/>
                  <w:szCs w:val="20"/>
                  <w:u w:val="single"/>
                </w:rPr>
                <w:t>https://novopskovrada.gov.ua/news/1715590454/</w:t>
              </w:r>
            </w:hyperlink>
          </w:p>
          <w:p w14:paraId="53647780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2A44" w:rsidRPr="00B52A44" w14:paraId="55A6C79A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28EDACA5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105055E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  Проведення інформаційно-просвітницькі компанії «Україна без бар’єрів»</w:t>
            </w:r>
          </w:p>
        </w:tc>
        <w:tc>
          <w:tcPr>
            <w:tcW w:w="2114" w:type="dxa"/>
            <w:gridSpan w:val="2"/>
          </w:tcPr>
          <w:p w14:paraId="78ABAF4D" w14:textId="77777777" w:rsidR="00B52A44" w:rsidRPr="00B52A44" w:rsidRDefault="00B52A44" w:rsidP="00B52A44">
            <w:pPr>
              <w:widowControl w:val="0"/>
              <w:autoSpaceDE w:val="0"/>
              <w:autoSpaceDN w:val="0"/>
              <w:ind w:left="-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01.12.2025</w:t>
            </w:r>
          </w:p>
          <w:p w14:paraId="6D711A1A" w14:textId="77777777" w:rsidR="00B52A44" w:rsidRPr="00B52A44" w:rsidRDefault="00B52A44" w:rsidP="00B52A44">
            <w:pPr>
              <w:widowControl w:val="0"/>
              <w:autoSpaceDE w:val="0"/>
              <w:autoSpaceDN w:val="0"/>
              <w:ind w:left="-4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01.12.2026</w:t>
            </w:r>
          </w:p>
          <w:p w14:paraId="27033E7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gridSpan w:val="2"/>
          </w:tcPr>
          <w:p w14:paraId="42807881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 w:bidi="ar"/>
              </w:rPr>
              <w:t>Відділ освіти Новопсковської с/р</w:t>
            </w:r>
          </w:p>
        </w:tc>
        <w:tc>
          <w:tcPr>
            <w:tcW w:w="4968" w:type="dxa"/>
          </w:tcPr>
          <w:p w14:paraId="559BD0D1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Забезпечено організацію та проведення інформаційно-просвітницької онлайн кампанії «Україна без бар’єрів» у форматі поширення інформації про освітній </w:t>
            </w:r>
            <w:r w:rsidRPr="00B52A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серіал «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Безбар’єрна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грамотність»</w:t>
            </w: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  на інформаційних ресурсах </w:t>
            </w:r>
            <w:proofErr w:type="spellStart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 СВА (сайт, сторінки в соціальних мережах тощо)</w:t>
            </w:r>
          </w:p>
        </w:tc>
      </w:tr>
      <w:tr w:rsidR="00B52A44" w:rsidRPr="00B52A44" w14:paraId="598FFB8B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7A444B70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90F087E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2.5. Проведення  щорічних Національних тижнів </w:t>
            </w:r>
            <w:proofErr w:type="spellStart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безбар’єрності</w:t>
            </w:r>
            <w:proofErr w:type="spellEnd"/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 xml:space="preserve"> (травень)</w:t>
            </w:r>
          </w:p>
        </w:tc>
        <w:tc>
          <w:tcPr>
            <w:tcW w:w="2114" w:type="dxa"/>
            <w:gridSpan w:val="2"/>
          </w:tcPr>
          <w:p w14:paraId="40C5868A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01.06.2026</w:t>
            </w:r>
          </w:p>
        </w:tc>
        <w:tc>
          <w:tcPr>
            <w:tcW w:w="2533" w:type="dxa"/>
            <w:gridSpan w:val="2"/>
          </w:tcPr>
          <w:p w14:paraId="74C741E2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культури, туризму, молоді та спорту, відділ освіти Новопсковської с/р</w:t>
            </w:r>
          </w:p>
        </w:tc>
        <w:tc>
          <w:tcPr>
            <w:tcW w:w="4968" w:type="dxa"/>
          </w:tcPr>
          <w:p w14:paraId="1B376E92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У Новопсковському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газопроводському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ліцею Новопсковської селищної ради Луганської області: </w:t>
            </w:r>
          </w:p>
          <w:p w14:paraId="38998712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 Тематичне заняття з практичним психологом для учнів 5–9 класів: «6 правил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безбар’єрного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спілкування».</w:t>
            </w:r>
          </w:p>
          <w:p w14:paraId="74DF8192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Мета: формування толерантності, поваги до різноманітності, розвиток навичок етичного спілкування.</w:t>
            </w:r>
          </w:p>
          <w:p w14:paraId="3D7ABB8B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 Година спілкування для учнів 8 класу: «Толерантне ставлення до людей з обмеженими можливостями». </w:t>
            </w:r>
          </w:p>
          <w:p w14:paraId="2879A6ED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Мета: ознайомлення учнів з поняттями «інклюзія» та «доступність», руйнування стереотипів.</w:t>
            </w:r>
          </w:p>
          <w:p w14:paraId="5E05AD5C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3. Пізнавальна гра для учнів 1–4 класів: «Як можна зрозуміти інших без слів?». </w:t>
            </w:r>
          </w:p>
          <w:p w14:paraId="1AD88568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Мета: розвиток емпатії та навичок невербального спілкування, підвищення рівня </w:t>
            </w: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розуміння різних форм комунікації.</w:t>
            </w:r>
          </w:p>
          <w:p w14:paraId="7F82983B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4. Година спілкування для учнів 11 класу: «Спочатку людина, а потім статус».</w:t>
            </w:r>
          </w:p>
          <w:p w14:paraId="50170B24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Мета: актуалізація цінностей поваги до гідності кожної людини, подолання соціальних бар’єрів.</w:t>
            </w:r>
          </w:p>
          <w:p w14:paraId="1F1339B9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5. Тренінгове заняття для педагогічного колективу: «Запобігання конфліктам і їх вирішення. Моделювання ситуацій мирного врегулювання».</w:t>
            </w:r>
          </w:p>
          <w:p w14:paraId="3F9A394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6. тематичний захід «Всі різні, але всі рівні. Сила у єдності»</w:t>
            </w:r>
          </w:p>
          <w:p w14:paraId="1A947F83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 базі гуманітарного хабу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Нижньодуванської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селищної військової адміністрації Сватівського району Луганської області, м. Харків в рамках Національного тижня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безбар’єрності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було проведено:</w:t>
            </w:r>
          </w:p>
          <w:p w14:paraId="4DEC7DD6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1. 21.05.2025 </w:t>
            </w:r>
            <w:bookmarkStart w:id="1" w:name="_Hlk198216842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на базі гуманітарного хабу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Нижньодуванської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селищної військової адміністрації Сватівського району Луганської області, м. Харків проведено </w:t>
            </w:r>
            <w:bookmarkEnd w:id="1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тематичний захід «Всі різні, але всі рівні. Сила у єдності» для ВПО із Луганщини.</w:t>
            </w:r>
          </w:p>
          <w:p w14:paraId="04A44BE5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2. 21.05.2025 на базі гуманітарного хабу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Нижньодуванської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селищної військової адміністрації Сватівського району Луганської області, м. Харків  проведено заняття арт майстерні «Кольори єдності» для ВПО із Луганщини.</w:t>
            </w:r>
          </w:p>
          <w:p w14:paraId="2E0038C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2A44" w:rsidRPr="00B52A44" w14:paraId="69768D95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03B1F2FE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5CC3B88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2.6.  Впровадження інтегрованої системи оповіщення та інформування людей старшого віку про процедури евакуації</w:t>
            </w:r>
          </w:p>
        </w:tc>
        <w:tc>
          <w:tcPr>
            <w:tcW w:w="2114" w:type="dxa"/>
            <w:gridSpan w:val="2"/>
          </w:tcPr>
          <w:p w14:paraId="5B8B5DCC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533" w:type="dxa"/>
            <w:gridSpan w:val="2"/>
          </w:tcPr>
          <w:p w14:paraId="0C9A48E2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Відділ будівництва, архітектури, інфраструктури, житлово-комунального господарства та земельних ресурсів Новопсковської с/р, відділ взаємодії з правоохоронними органами та цивільного захисту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СВА</w:t>
            </w:r>
          </w:p>
        </w:tc>
        <w:tc>
          <w:tcPr>
            <w:tcW w:w="4968" w:type="dxa"/>
          </w:tcPr>
          <w:p w14:paraId="15EABD8D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</w:tr>
      <w:tr w:rsidR="00B52A44" w:rsidRPr="00B52A44" w14:paraId="48C82723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0422724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887163D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2.7. Підвищення рівня поінформованості батьків і дітей про мінну небезпеку.</w:t>
            </w:r>
          </w:p>
        </w:tc>
        <w:tc>
          <w:tcPr>
            <w:tcW w:w="2114" w:type="dxa"/>
            <w:gridSpan w:val="2"/>
          </w:tcPr>
          <w:p w14:paraId="316CF315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533" w:type="dxa"/>
            <w:gridSpan w:val="2"/>
          </w:tcPr>
          <w:p w14:paraId="3BB64D10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освіти Новопсковської с/р</w:t>
            </w:r>
          </w:p>
        </w:tc>
        <w:tc>
          <w:tcPr>
            <w:tcW w:w="4968" w:type="dxa"/>
          </w:tcPr>
          <w:p w14:paraId="5BB72FE2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  <w:r w:rsidRPr="00B52A44">
              <w:rPr>
                <w:rFonts w:ascii="Times New Roman" w:eastAsia="Times New Roman" w:hAnsi="Times New Roman"/>
                <w:szCs w:val="28"/>
              </w:rPr>
              <w:t xml:space="preserve"> До Міжнародного дня просвіти з питань мінної безпеки для учнів 1-11 класів Новопсковського </w:t>
            </w:r>
            <w:proofErr w:type="spellStart"/>
            <w:r w:rsidRPr="00B52A44">
              <w:rPr>
                <w:rFonts w:ascii="Times New Roman" w:eastAsia="Times New Roman" w:hAnsi="Times New Roman"/>
                <w:szCs w:val="28"/>
              </w:rPr>
              <w:t>газопроводського</w:t>
            </w:r>
            <w:proofErr w:type="spellEnd"/>
            <w:r w:rsidRPr="00B52A44">
              <w:rPr>
                <w:rFonts w:ascii="Times New Roman" w:eastAsia="Times New Roman" w:hAnsi="Times New Roman"/>
                <w:szCs w:val="28"/>
              </w:rPr>
              <w:t xml:space="preserve"> ліцею Новопсковської селищної ради  педагог-організатор, класні керівники провели коротку інформаційну сесію (урок) з правил мінної безпеки, алгоритм дій у разі виявлення підозрілих предметів. Розповсюджені інформаційні матеріали. Показ презентацій.  </w:t>
            </w:r>
          </w:p>
          <w:p w14:paraId="1DB4DF7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Cs w:val="28"/>
              </w:rPr>
            </w:pPr>
          </w:p>
          <w:p w14:paraId="3EEDEDC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2A44" w:rsidRPr="00B52A44" w14:paraId="255B778F" w14:textId="77777777" w:rsidTr="00782623">
        <w:trPr>
          <w:jc w:val="center"/>
        </w:trPr>
        <w:tc>
          <w:tcPr>
            <w:tcW w:w="15128" w:type="dxa"/>
            <w:gridSpan w:val="8"/>
          </w:tcPr>
          <w:p w14:paraId="419251D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Стратегічна ціль :      Суспільне прийняття, взаємоповага та згуртованість посилюють соціальний капітал у громадах</w:t>
            </w:r>
          </w:p>
        </w:tc>
      </w:tr>
      <w:tr w:rsidR="00B52A44" w:rsidRPr="00B52A44" w14:paraId="6D93C3B6" w14:textId="77777777" w:rsidTr="00782623">
        <w:trPr>
          <w:jc w:val="center"/>
        </w:trPr>
        <w:tc>
          <w:tcPr>
            <w:tcW w:w="2856" w:type="dxa"/>
            <w:gridSpan w:val="2"/>
            <w:vMerge w:val="restart"/>
          </w:tcPr>
          <w:p w14:paraId="41066E7C" w14:textId="77777777" w:rsidR="00B52A44" w:rsidRPr="00B52A44" w:rsidRDefault="00B52A44" w:rsidP="00B52A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Просвітницькі кампанії щодо підвищення рівня толерантності, недискримінації, розуміння цінностей різноманіття та суспільного прийняття, про повагу,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безбар’єрні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комунікації і чутливу мову спілкування.</w:t>
            </w:r>
          </w:p>
          <w:p w14:paraId="2EC9541A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CAC471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3.1. Проведення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гендерно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-чутливі інформаційно-просвітницькі заходи про те, куди звертатися про підтримку людям, які постраждали від домашнього насильства, куди звертатися свідкам такого насильства </w:t>
            </w:r>
          </w:p>
        </w:tc>
        <w:tc>
          <w:tcPr>
            <w:tcW w:w="2114" w:type="dxa"/>
            <w:gridSpan w:val="2"/>
          </w:tcPr>
          <w:p w14:paraId="7830B298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31.12.2026</w:t>
            </w:r>
          </w:p>
        </w:tc>
        <w:tc>
          <w:tcPr>
            <w:tcW w:w="2533" w:type="dxa"/>
            <w:gridSpan w:val="2"/>
          </w:tcPr>
          <w:p w14:paraId="7F405EAF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соціального захисту населення, відділ освіти. служба у справах дітей Новопсковської с/р</w:t>
            </w:r>
          </w:p>
          <w:p w14:paraId="637D6E50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14:paraId="5DFDCDF3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Розпорядженням начальника селищної військової адміністрації від 16.09.2024 № 207-о затверджена «Програма запобігання та протидії домашньому насильству, насильству за ознакою статі та протидії торгівлі людьми Новопсковської селищної територіальної громади Старобільського району Луганської області на 2025 – 2027 роки».</w:t>
            </w:r>
          </w:p>
          <w:p w14:paraId="6CD2C9C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  <w:t>Розпорядженням начальника селищної військової адміністрації від 16.09.2024 № 208-о, затверджена «Програма забезпечення рівних прав та можливостей жінок та чоловіків Новопсковської селищної територіальної громади Старобільського району Луганської області на 2025-2027 роки».</w:t>
            </w:r>
          </w:p>
        </w:tc>
      </w:tr>
      <w:tr w:rsidR="00B52A44" w:rsidRPr="00B52A44" w14:paraId="70703016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58C81706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F282F6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3.2.  Проведення просвітницьких кампаній  щодо підтримки чоловіків та жінок після завершення військової служби</w:t>
            </w:r>
          </w:p>
        </w:tc>
        <w:tc>
          <w:tcPr>
            <w:tcW w:w="2114" w:type="dxa"/>
            <w:gridSpan w:val="2"/>
          </w:tcPr>
          <w:p w14:paraId="13AF3D51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44CFF70F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Відділ соціального захисту населення Новопсковської с/р. ЦНАП</w:t>
            </w:r>
          </w:p>
        </w:tc>
        <w:tc>
          <w:tcPr>
            <w:tcW w:w="4968" w:type="dxa"/>
          </w:tcPr>
          <w:p w14:paraId="7945E1D9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Інформування жителів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селищної територіальної громади відбувалося шляхом публікації дописів щодо запобігання та протидії домашньому насильству, насильству за ознакою статі, торгівлі людьми та забезпечення гендерної рівності на інформаційних ресурсах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СВА, зокрема на офіційному сайті, сторінках в соціальних медіа, телеграм каналі та в 20-ти закритих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вайбер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групах з ВПО в кожній області України.</w:t>
            </w:r>
          </w:p>
          <w:p w14:paraId="08F63526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На офіційному сайті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СВА  створено окремий розділ, в якому публікується  інформація у сфері захисту прав із запобігання дискримінації, домашньому насильству, протидії торгівлі людьми, </w:t>
            </w: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рівних прав та можливостей жінок і чоловіків.</w:t>
            </w:r>
          </w:p>
          <w:p w14:paraId="6861BB42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Pr="00B52A44">
                <w:rPr>
                  <w:rFonts w:ascii="Times New Roman" w:eastAsiaTheme="majorEastAsia" w:hAnsi="Times New Roman"/>
                  <w:color w:val="0000FF"/>
                  <w:sz w:val="20"/>
                  <w:szCs w:val="20"/>
                  <w:u w:val="single"/>
                </w:rPr>
                <w:t>https://novopskovrada.gov.ua/zapobigannya-ta-protidiya-domashnomu-nasilstvu-12-28-49-23-01-2023/</w:t>
              </w:r>
            </w:hyperlink>
          </w:p>
          <w:p w14:paraId="0859C59F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bCs/>
                <w:sz w:val="20"/>
                <w:szCs w:val="20"/>
              </w:rPr>
              <w:t>На базі Координаційного центру допомоги внутрішньо переміщеним особам з Луганської області в м. Івано-Франківськ на інформаційних стендах розміщена інформація щодо запобігання та протидії домашньому насильству та забезпечення гендерної рівності, а також відвідувачам хабу надаються інформаційні брошури з метою  підвищення рівня обізнаності населення у сфері запобігання та протидії домашньому насильству.</w:t>
            </w:r>
          </w:p>
          <w:p w14:paraId="76FF14CA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Розпорядженням начальника селищної військової адміністрації Старобільського району Луганської області від 11.12.2023 № 280-о, визначено відділ соціального захисту населення Новопсковської селищної ради відповідальним за реалізацію заходів з питань забезпечення рівних прав та можливостей жінок і чоловіків, запобігання та протидії насильству за ознакою статі на території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селищної територіальної громади.</w:t>
            </w:r>
          </w:p>
          <w:p w14:paraId="32CD73C8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Розпорядженням начальника селищної військової адміністрації Старобільського району Луганської області від 11.12.2023 № 280-о, визначено уповноважену особу (координатором) з питань забезпечення рівних прав та можливостей жінок і чоловіків, запобігання та протидії насильству за ознакою статі на території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селищної територіальної громади.</w:t>
            </w:r>
          </w:p>
          <w:p w14:paraId="0EDF96CD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Розпорядженням начальника селищної військової адміністрації Старобільського району Луганської області від 31.07.2024 № 180-о, визначено відповідальну особу з питань здійснення заходів у сфері запобігання та протидії торгівлі людьми на території Новопсковської селищної територіальної громади.</w:t>
            </w:r>
          </w:p>
          <w:p w14:paraId="32A8F377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Розпорядженням начальника селищної військової адміністрації Старобільського району Луганської області від 31.07.2024 № 179-о, визначено відповідальну особу з питань здійснення заходів у сфері запобігання та протидії домашнього насильства і насильства за ознакою статі  на території </w:t>
            </w:r>
            <w:proofErr w:type="spellStart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52A4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селищної територіальної громади.</w:t>
            </w:r>
          </w:p>
          <w:p w14:paraId="1690F08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1682BC8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4646F1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C06EAF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2A44" w:rsidRPr="00B52A44" w14:paraId="1EEE6C69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1AF1A498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43442493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3.3.  Проведення заходів щодо вшанування пам’яті захисників України</w:t>
            </w:r>
          </w:p>
        </w:tc>
        <w:tc>
          <w:tcPr>
            <w:tcW w:w="2114" w:type="dxa"/>
            <w:gridSpan w:val="2"/>
          </w:tcPr>
          <w:p w14:paraId="283BEE9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1E3C48B5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культури, туризму, молоді та спорту, відділ освіти Новопсковської с/р</w:t>
            </w:r>
          </w:p>
        </w:tc>
        <w:tc>
          <w:tcPr>
            <w:tcW w:w="4968" w:type="dxa"/>
          </w:tcPr>
          <w:p w14:paraId="09BE104A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До Дня пам’яті захисників України, які загинули в боротьбі за незалежність:</w:t>
            </w:r>
          </w:p>
          <w:p w14:paraId="5B8393C3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1) Патріотичний захід-бесіда «Пам'ять, яка об'єднує», акція «Соняхи пам'яті» (29.08.2025, с. Рудка, Полтавська обл., Рудківська гімназія).</w:t>
            </w:r>
          </w:p>
          <w:p w14:paraId="61C89879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 xml:space="preserve">2) «Майстерка по виготовленню квітки соняха із синельного дроту на знак шанування пам’яті загиблих захисників України» - майстер-клас в рамках Всеукраїнської акції пам’яті «Сонях», (29.08.2025, </w:t>
            </w:r>
            <w:proofErr w:type="spellStart"/>
            <w:r w:rsidRPr="00B52A44">
              <w:rPr>
                <w:rFonts w:ascii="Times New Roman" w:eastAsia="Times New Roman" w:hAnsi="Times New Roman"/>
              </w:rPr>
              <w:t>Нижньодуванський</w:t>
            </w:r>
            <w:proofErr w:type="spellEnd"/>
            <w:r w:rsidRPr="00B52A44">
              <w:rPr>
                <w:rFonts w:ascii="Times New Roman" w:eastAsia="Times New Roman" w:hAnsi="Times New Roman"/>
              </w:rPr>
              <w:t xml:space="preserve"> гуманітарний штаб у м. Харків).</w:t>
            </w:r>
          </w:p>
          <w:p w14:paraId="678E44BA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3) Тематичний захід до Дня пам'яті захисників України, які загинули в боротьбі за незалежність, суверенітет і територіальну цілісність України із виготовленням соняхів пам’яті (участь у акції «Соняхи пам'яті»). Покладання квітів до пам'ятників загиблих воїнів земляків у м. Івано-Франківськ (29.08.2025, Координаційний центр надання допомоги ВПО із Луганщини у Івано-Франківській області, м. Івано-Франківськ).</w:t>
            </w:r>
          </w:p>
          <w:p w14:paraId="57EF8D8D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Загальне охоплення (кількість учасників заходів) – 95 (у тому числі 10 військових).</w:t>
            </w:r>
          </w:p>
          <w:p w14:paraId="1C164F5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</w:rPr>
              <w:t>Також забезпечено участь жителів Новопсковської селищної територіальної громади у Всеукраїнському забігу «Шаную Воїнів, біжу за Героїв України» (30.08.2025, різні населені пункти України).</w:t>
            </w:r>
          </w:p>
        </w:tc>
      </w:tr>
      <w:tr w:rsidR="00B52A44" w:rsidRPr="00B52A44" w14:paraId="18EE1260" w14:textId="77777777" w:rsidTr="00782623">
        <w:trPr>
          <w:trHeight w:val="1380"/>
          <w:jc w:val="center"/>
        </w:trPr>
        <w:tc>
          <w:tcPr>
            <w:tcW w:w="2856" w:type="dxa"/>
            <w:gridSpan w:val="2"/>
            <w:vMerge/>
          </w:tcPr>
          <w:p w14:paraId="3BC1CDA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14FAC9B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3.4. Розміщення інформації та роз’яснення куди звертатись особам, які постраждали від домашнього насильства</w:t>
            </w:r>
          </w:p>
        </w:tc>
        <w:tc>
          <w:tcPr>
            <w:tcW w:w="2114" w:type="dxa"/>
            <w:gridSpan w:val="2"/>
          </w:tcPr>
          <w:p w14:paraId="74197A12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533" w:type="dxa"/>
            <w:gridSpan w:val="2"/>
          </w:tcPr>
          <w:p w14:paraId="106D09C4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соціального захисту населення Новопсковської с/р</w:t>
            </w:r>
          </w:p>
          <w:p w14:paraId="421C562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4230278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</w:tcPr>
          <w:p w14:paraId="5E2294AD" w14:textId="77777777" w:rsidR="00B52A44" w:rsidRPr="00B52A44" w:rsidRDefault="00B97C69" w:rsidP="00B52A4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" w:history="1">
              <w:r w:rsidR="00B52A44" w:rsidRPr="00B52A44">
                <w:rPr>
                  <w:rFonts w:ascii="Times New Roman" w:eastAsiaTheme="majorEastAsia" w:hAnsi="Times New Roman"/>
                  <w:color w:val="0000FF"/>
                  <w:sz w:val="20"/>
                  <w:szCs w:val="20"/>
                  <w:u w:val="single"/>
                </w:rPr>
                <w:t>https://novopskovrada.gov.ua/zapobigannya-ta-protidiya-domashnomu-nasilstvu-12-28-49-23-01-2023/</w:t>
              </w:r>
            </w:hyperlink>
          </w:p>
          <w:p w14:paraId="6FAE9DF1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52A44" w:rsidRPr="00B52A44" w14:paraId="3F9ED505" w14:textId="77777777" w:rsidTr="00782623">
        <w:trPr>
          <w:jc w:val="center"/>
        </w:trPr>
        <w:tc>
          <w:tcPr>
            <w:tcW w:w="15128" w:type="dxa"/>
            <w:gridSpan w:val="8"/>
          </w:tcPr>
          <w:p w14:paraId="0043AF0A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Стратегічна ціль: Доступні для кожної людини соціальні, освітні, охорони здоров’я, комунальні, транспортні, фінансові, правничі, безпекові, правозахисні, цивільного захисту, адміністративні, архівні, медіа та інші послуги.</w:t>
            </w:r>
          </w:p>
        </w:tc>
      </w:tr>
      <w:tr w:rsidR="00B52A44" w:rsidRPr="00B52A44" w14:paraId="04175432" w14:textId="77777777" w:rsidTr="00782623">
        <w:trPr>
          <w:jc w:val="center"/>
        </w:trPr>
        <w:tc>
          <w:tcPr>
            <w:tcW w:w="2856" w:type="dxa"/>
            <w:gridSpan w:val="2"/>
          </w:tcPr>
          <w:p w14:paraId="4B5EF81C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Навчання службовців, надавачів послуг питання доступності, інклюзії та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57" w:type="dxa"/>
          </w:tcPr>
          <w:p w14:paraId="1561237D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4.1. Забезпечення навчання надавачів послуг (вчителів) з питань доступності, інклюзії та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114" w:type="dxa"/>
            <w:gridSpan w:val="2"/>
          </w:tcPr>
          <w:p w14:paraId="4A9B39AB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400024FF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Відділ освіти Новопсковської с/р, КУ «Центр надання соціальних послуг Новопсковської с/р»</w:t>
            </w:r>
          </w:p>
        </w:tc>
        <w:tc>
          <w:tcPr>
            <w:tcW w:w="4968" w:type="dxa"/>
          </w:tcPr>
          <w:p w14:paraId="6098163D" w14:textId="77777777" w:rsidR="00B52A44" w:rsidRPr="00B52A44" w:rsidRDefault="00B52A44" w:rsidP="00B52A44">
            <w:pPr>
              <w:widowControl w:val="0"/>
              <w:tabs>
                <w:tab w:val="left" w:pos="3372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Навчання на тему «Простою мовою про складне» пройшли 16 чоловік. Подія оприлюднена на сайті адміністрації.</w:t>
            </w:r>
          </w:p>
          <w:p w14:paraId="459A0690" w14:textId="77777777" w:rsidR="00B52A44" w:rsidRPr="00B52A44" w:rsidRDefault="00B52A44" w:rsidP="00B52A44">
            <w:pPr>
              <w:widowControl w:val="0"/>
              <w:tabs>
                <w:tab w:val="left" w:pos="3372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</w:rPr>
            </w:pPr>
            <w:r w:rsidRPr="00B52A44">
              <w:rPr>
                <w:rFonts w:ascii="Times New Roman" w:eastAsia="Times New Roman" w:hAnsi="Times New Roman"/>
              </w:rPr>
              <w:t xml:space="preserve">Посилання на публікацію: </w:t>
            </w:r>
            <w:hyperlink r:id="rId8" w:tgtFrame="_blank" w:history="1">
              <w:r w:rsidRPr="00B52A44">
                <w:rPr>
                  <w:rFonts w:ascii="Arial" w:eastAsia="Times New Roman" w:hAnsi="Arial" w:cs="Arial"/>
                  <w:color w:val="1155CC"/>
                  <w:u w:val="single"/>
                  <w:shd w:val="clear" w:color="auto" w:fill="FFFFFF"/>
                </w:rPr>
                <w:t>https://aidarstg.gov.ua/news/1757397633/</w:t>
              </w:r>
            </w:hyperlink>
            <w:r w:rsidRPr="00B52A44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 </w:t>
            </w:r>
          </w:p>
          <w:p w14:paraId="40FAAB70" w14:textId="77777777" w:rsidR="00B52A44" w:rsidRPr="00B52A44" w:rsidRDefault="00B52A44" w:rsidP="00B52A44">
            <w:pPr>
              <w:widowControl w:val="0"/>
              <w:tabs>
                <w:tab w:val="left" w:pos="3372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color w:val="222222"/>
                <w:shd w:val="clear" w:color="auto" w:fill="FFFFFF"/>
              </w:rPr>
            </w:pPr>
          </w:p>
          <w:p w14:paraId="6B8FBB74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52A44" w:rsidRPr="00B52A44" w14:paraId="0A4FFAB0" w14:textId="77777777" w:rsidTr="00782623">
        <w:trPr>
          <w:jc w:val="center"/>
        </w:trPr>
        <w:tc>
          <w:tcPr>
            <w:tcW w:w="15128" w:type="dxa"/>
            <w:gridSpan w:val="8"/>
          </w:tcPr>
          <w:p w14:paraId="0E05A9CE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Стратегічна ціль: Кожна людина має доступ до розвиненої системи громадського здоров’я, включаючи заходи фізичної активності та спорту</w:t>
            </w:r>
          </w:p>
        </w:tc>
      </w:tr>
      <w:tr w:rsidR="00B52A44" w:rsidRPr="00B52A44" w14:paraId="4258E3DD" w14:textId="77777777" w:rsidTr="00782623">
        <w:trPr>
          <w:jc w:val="center"/>
        </w:trPr>
        <w:tc>
          <w:tcPr>
            <w:tcW w:w="2856" w:type="dxa"/>
            <w:gridSpan w:val="2"/>
          </w:tcPr>
          <w:p w14:paraId="3950E3E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Залучення </w:t>
            </w:r>
            <w:r w:rsidRPr="00B52A44">
              <w:rPr>
                <w:rFonts w:ascii="Times New Roman" w:eastAsia="Times New Roman" w:hAnsi="Times New Roman"/>
                <w:sz w:val="24"/>
                <w:szCs w:val="24"/>
              </w:rPr>
              <w:t>всіх суспільних груп</w:t>
            </w: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до оздоровчої рухової активності та адаптивного спорту</w:t>
            </w:r>
          </w:p>
          <w:p w14:paraId="6F4467C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E4DA94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5.1. Проведення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гендерно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-чутливих інформаційно-просвітницьких заходів для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самозбережувальної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поведінки</w:t>
            </w:r>
          </w:p>
        </w:tc>
        <w:tc>
          <w:tcPr>
            <w:tcW w:w="2114" w:type="dxa"/>
            <w:gridSpan w:val="2"/>
          </w:tcPr>
          <w:p w14:paraId="746442B0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455F4CB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Відділ культури, туризму, молоді і спорту Новопсковської с/р</w:t>
            </w:r>
          </w:p>
        </w:tc>
        <w:tc>
          <w:tcPr>
            <w:tcW w:w="4968" w:type="dxa"/>
          </w:tcPr>
          <w:p w14:paraId="740F5FE5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1) Спортивний захід «Молодь і спорт – разом» (12.08.2025 Рудківська гімназія, с. Рудки, Полтавська обл.).</w:t>
            </w:r>
          </w:p>
          <w:p w14:paraId="0CDEDCB7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2) Пікнік-квест «Здорова пригода без бар`єрів» до Дня фізичної культури і спорту  (12.09.2025, Гуманітарний штаб Гірської МВА в м. Полтава).</w:t>
            </w:r>
          </w:p>
          <w:p w14:paraId="5CC60A28" w14:textId="77777777" w:rsidR="00B52A44" w:rsidRPr="00B52A44" w:rsidRDefault="00B52A44" w:rsidP="00B52A44">
            <w:pPr>
              <w:widowControl w:val="0"/>
              <w:autoSpaceDE w:val="0"/>
              <w:autoSpaceDN w:val="0"/>
              <w:ind w:firstLine="56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Загальне охоплення (кількість учасників заходів) – 43 (у тому числі 2 військових).</w:t>
            </w:r>
          </w:p>
          <w:p w14:paraId="34808AC8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52A44" w:rsidRPr="00B52A44" w14:paraId="6B26765B" w14:textId="77777777" w:rsidTr="00782623">
        <w:trPr>
          <w:jc w:val="center"/>
        </w:trPr>
        <w:tc>
          <w:tcPr>
            <w:tcW w:w="2856" w:type="dxa"/>
            <w:gridSpan w:val="2"/>
            <w:vMerge w:val="restart"/>
          </w:tcPr>
          <w:p w14:paraId="672A5A84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6. Надання психологічної допомоги для всіх суспільних груп</w:t>
            </w:r>
          </w:p>
        </w:tc>
        <w:tc>
          <w:tcPr>
            <w:tcW w:w="2657" w:type="dxa"/>
          </w:tcPr>
          <w:p w14:paraId="5EDF73DC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6.1. Надання психологічної допомоги ветеранам та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ветеранкам</w:t>
            </w:r>
            <w:proofErr w:type="spellEnd"/>
          </w:p>
        </w:tc>
        <w:tc>
          <w:tcPr>
            <w:tcW w:w="2114" w:type="dxa"/>
            <w:gridSpan w:val="2"/>
          </w:tcPr>
          <w:p w14:paraId="3D6CAD11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0D383F78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КУ «Центр надання соціальних послуг Новопсковської с/р»</w:t>
            </w:r>
          </w:p>
        </w:tc>
        <w:tc>
          <w:tcPr>
            <w:tcW w:w="4968" w:type="dxa"/>
          </w:tcPr>
          <w:p w14:paraId="41E78D5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 сім’ям військовим – 285 послуг соціальної профілактики</w:t>
            </w:r>
          </w:p>
        </w:tc>
      </w:tr>
      <w:tr w:rsidR="00B52A44" w:rsidRPr="00B52A44" w14:paraId="13F88B1F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3D9777E5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6DF6953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6.2. Надання психологічної допомоги та підтримку дітям, які отримали травматичний досвід</w:t>
            </w:r>
          </w:p>
        </w:tc>
        <w:tc>
          <w:tcPr>
            <w:tcW w:w="2114" w:type="dxa"/>
            <w:gridSpan w:val="2"/>
          </w:tcPr>
          <w:p w14:paraId="73D88CE3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55A1C47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 «Центр надання соціальних послуг Новопсковської селищної ради», служба у справах дітей Новопсковської с/р</w:t>
            </w:r>
          </w:p>
        </w:tc>
        <w:tc>
          <w:tcPr>
            <w:tcW w:w="4968" w:type="dxa"/>
          </w:tcPr>
          <w:p w14:paraId="39FC027F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Надано послуг 10 дітям -255 послуг соціальної профілактики</w:t>
            </w:r>
          </w:p>
        </w:tc>
      </w:tr>
      <w:tr w:rsidR="00B52A44" w:rsidRPr="00B52A44" w14:paraId="317A80E8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40FDD49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64D184C3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6.3. Надання психологічної допомоги для всіх соціальних груп</w:t>
            </w:r>
          </w:p>
        </w:tc>
        <w:tc>
          <w:tcPr>
            <w:tcW w:w="2114" w:type="dxa"/>
            <w:gridSpan w:val="2"/>
          </w:tcPr>
          <w:p w14:paraId="54DF19DC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0DEFF1C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 «Центр надання соціальних послуг Новопсковської с/р»</w:t>
            </w:r>
          </w:p>
        </w:tc>
        <w:tc>
          <w:tcPr>
            <w:tcW w:w="4968" w:type="dxa"/>
          </w:tcPr>
          <w:p w14:paraId="491B2580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59 ВПО з Луганської області -1544 послуги соціальної профілактики</w:t>
            </w:r>
          </w:p>
        </w:tc>
      </w:tr>
      <w:tr w:rsidR="00B52A44" w:rsidRPr="00B52A44" w14:paraId="5743D423" w14:textId="77777777" w:rsidTr="00782623">
        <w:trPr>
          <w:jc w:val="center"/>
        </w:trPr>
        <w:tc>
          <w:tcPr>
            <w:tcW w:w="15128" w:type="dxa"/>
            <w:gridSpan w:val="8"/>
          </w:tcPr>
          <w:p w14:paraId="43B0233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Стратегічна ціль : Держава сприяє підвищенню рівня захисту прав жінок та чоловіків, хлопчиків та дівчат, зокрема осіб з інвалідністю</w:t>
            </w:r>
          </w:p>
        </w:tc>
      </w:tr>
      <w:tr w:rsidR="00B52A44" w:rsidRPr="00B52A44" w14:paraId="375825CC" w14:textId="77777777" w:rsidTr="00782623">
        <w:trPr>
          <w:jc w:val="center"/>
        </w:trPr>
        <w:tc>
          <w:tcPr>
            <w:tcW w:w="2837" w:type="dxa"/>
          </w:tcPr>
          <w:p w14:paraId="602E36C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 Надання допомоги постраждалим від всіх форм насильства</w:t>
            </w:r>
          </w:p>
        </w:tc>
        <w:tc>
          <w:tcPr>
            <w:tcW w:w="2712" w:type="dxa"/>
            <w:gridSpan w:val="3"/>
          </w:tcPr>
          <w:p w14:paraId="67F857F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7.1. Надання соціальних послуг особам, які постраждали від насильства за ознакою статі</w:t>
            </w:r>
          </w:p>
        </w:tc>
        <w:tc>
          <w:tcPr>
            <w:tcW w:w="2097" w:type="dxa"/>
            <w:gridSpan w:val="2"/>
          </w:tcPr>
          <w:p w14:paraId="3D54941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14" w:type="dxa"/>
          </w:tcPr>
          <w:p w14:paraId="70C2615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 «Центр надання соціальних послуг Новопсковської селищної ради»</w:t>
            </w:r>
          </w:p>
        </w:tc>
        <w:tc>
          <w:tcPr>
            <w:tcW w:w="4968" w:type="dxa"/>
          </w:tcPr>
          <w:p w14:paraId="6C1D33C6" w14:textId="77777777" w:rsidR="00B52A44" w:rsidRPr="00B52A44" w:rsidRDefault="00B52A44" w:rsidP="00B52A4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52A44" w:rsidRPr="00B52A44" w14:paraId="0B400BE8" w14:textId="77777777" w:rsidTr="00782623">
        <w:trPr>
          <w:jc w:val="center"/>
        </w:trPr>
        <w:tc>
          <w:tcPr>
            <w:tcW w:w="15128" w:type="dxa"/>
            <w:gridSpan w:val="8"/>
          </w:tcPr>
          <w:p w14:paraId="4BAEC81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Стратегічна ціль: Громади впроваджують заходи </w:t>
            </w:r>
            <w:proofErr w:type="spellStart"/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безбар’єрності</w:t>
            </w:r>
            <w:proofErr w:type="spellEnd"/>
            <w:r w:rsidRPr="00B52A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та посилюють свою спроможність</w:t>
            </w:r>
          </w:p>
        </w:tc>
      </w:tr>
      <w:tr w:rsidR="00B52A44" w:rsidRPr="00B52A44" w14:paraId="5A0A3573" w14:textId="77777777" w:rsidTr="00782623">
        <w:trPr>
          <w:jc w:val="center"/>
        </w:trPr>
        <w:tc>
          <w:tcPr>
            <w:tcW w:w="2856" w:type="dxa"/>
            <w:gridSpan w:val="2"/>
            <w:vMerge w:val="restart"/>
          </w:tcPr>
          <w:p w14:paraId="33157110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8.Спроможність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СВА щодо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657" w:type="dxa"/>
          </w:tcPr>
          <w:p w14:paraId="589F4BF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8.1 Визначення особи, відповідальної за напрямок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114" w:type="dxa"/>
            <w:gridSpan w:val="2"/>
          </w:tcPr>
          <w:p w14:paraId="72329580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533" w:type="dxa"/>
            <w:gridSpan w:val="2"/>
          </w:tcPr>
          <w:p w14:paraId="199E4DFB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Айдарської</w:t>
            </w:r>
            <w:proofErr w:type="spellEnd"/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СВА</w:t>
            </w:r>
          </w:p>
        </w:tc>
        <w:tc>
          <w:tcPr>
            <w:tcW w:w="4968" w:type="dxa"/>
          </w:tcPr>
          <w:p w14:paraId="69226109" w14:textId="77777777" w:rsidR="00B52A44" w:rsidRPr="00B52A44" w:rsidRDefault="00B52A44" w:rsidP="00B52A44">
            <w:pPr>
              <w:widowControl w:val="0"/>
              <w:autoSpaceDE w:val="0"/>
              <w:autoSpaceDN w:val="0"/>
              <w:spacing w:before="12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Розпорядження начальника № 177-о від 04.07.2025</w:t>
            </w:r>
          </w:p>
          <w:p w14:paraId="66F181B7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Roboto" w:eastAsia="Times New Roman" w:hAnsi="Roboto"/>
                <w:color w:val="000000"/>
                <w:sz w:val="24"/>
                <w:szCs w:val="24"/>
                <w:shd w:val="clear" w:color="auto" w:fill="FBFBFB"/>
              </w:rPr>
              <w:t> </w:t>
            </w:r>
            <w:hyperlink r:id="rId9" w:tgtFrame="_blank" w:history="1">
              <w:r w:rsidRPr="00B52A44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https://aidarstg.gov.ua/news/1756117707/</w:t>
              </w:r>
            </w:hyperlink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\</w:t>
            </w:r>
          </w:p>
        </w:tc>
      </w:tr>
      <w:tr w:rsidR="00B52A44" w:rsidRPr="00B52A44" w14:paraId="12D91129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54B1732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369BEBCC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8.2 Забезпечення засідань ради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114" w:type="dxa"/>
            <w:gridSpan w:val="2"/>
          </w:tcPr>
          <w:p w14:paraId="16B1CD46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 раз на квартал</w:t>
            </w:r>
          </w:p>
        </w:tc>
        <w:tc>
          <w:tcPr>
            <w:tcW w:w="2533" w:type="dxa"/>
            <w:gridSpan w:val="2"/>
          </w:tcPr>
          <w:p w14:paraId="3E1CB9F1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будівництва, архітектури, інфраструктури, житлово-комунального господарства та земельних ресурсів Новопсковської с/р</w:t>
            </w:r>
          </w:p>
        </w:tc>
        <w:tc>
          <w:tcPr>
            <w:tcW w:w="4968" w:type="dxa"/>
          </w:tcPr>
          <w:p w14:paraId="6F161F46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</w:rPr>
              <w:t>1-ше засідання 12.02.2025</w:t>
            </w:r>
          </w:p>
          <w:p w14:paraId="3EBAC0A2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 2-ге засідання</w:t>
            </w:r>
            <w:r w:rsidRPr="00B52A44">
              <w:rPr>
                <w:rFonts w:ascii="Times New Roman" w:eastAsia="Times New Roman" w:hAnsi="Times New Roman"/>
              </w:rPr>
              <w:t xml:space="preserve"> 26.06.2025</w:t>
            </w:r>
          </w:p>
          <w:p w14:paraId="1D7CD89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3-тє засідання</w:t>
            </w:r>
            <w:r w:rsidRPr="00B52A44">
              <w:rPr>
                <w:rFonts w:ascii="Times New Roman" w:eastAsia="Times New Roman" w:hAnsi="Times New Roman"/>
                <w:color w:val="000000"/>
                <w:shd w:val="clear" w:color="auto" w:fill="FBFBFB"/>
              </w:rPr>
              <w:t> </w:t>
            </w:r>
            <w:r w:rsidRPr="00B52A44">
              <w:rPr>
                <w:rFonts w:ascii="Times New Roman" w:eastAsia="Times New Roman" w:hAnsi="Times New Roman"/>
              </w:rPr>
              <w:t xml:space="preserve"> 02.07.2025</w:t>
            </w:r>
          </w:p>
          <w:p w14:paraId="598E45F0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4-те засідання</w:t>
            </w:r>
            <w:r w:rsidRPr="00B52A44">
              <w:rPr>
                <w:rFonts w:ascii="Times New Roman" w:eastAsia="Times New Roman" w:hAnsi="Times New Roman"/>
              </w:rPr>
              <w:t xml:space="preserve"> 05.08.2025</w:t>
            </w:r>
          </w:p>
          <w:p w14:paraId="421DF8A8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</w:rPr>
              <w:t xml:space="preserve">5-те засідання  10.10.2025                                                               </w:t>
            </w:r>
          </w:p>
        </w:tc>
      </w:tr>
      <w:tr w:rsidR="00B52A44" w:rsidRPr="00B52A44" w14:paraId="62C6C155" w14:textId="77777777" w:rsidTr="00782623">
        <w:trPr>
          <w:jc w:val="center"/>
        </w:trPr>
        <w:tc>
          <w:tcPr>
            <w:tcW w:w="2856" w:type="dxa"/>
            <w:gridSpan w:val="2"/>
            <w:vMerge/>
          </w:tcPr>
          <w:p w14:paraId="2C741A5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7" w:type="dxa"/>
          </w:tcPr>
          <w:p w14:paraId="7D23BAF8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8.3 Висвітлення результатів засідань ради </w:t>
            </w:r>
            <w:proofErr w:type="spellStart"/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2114" w:type="dxa"/>
            <w:gridSpan w:val="2"/>
          </w:tcPr>
          <w:p w14:paraId="5EC8B8D9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раз на квартал</w:t>
            </w:r>
          </w:p>
        </w:tc>
        <w:tc>
          <w:tcPr>
            <w:tcW w:w="2533" w:type="dxa"/>
            <w:gridSpan w:val="2"/>
          </w:tcPr>
          <w:p w14:paraId="5568474E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будівництва, архітектури, інфраструктури, житлово-комунального господарства та земельних ресурсів Новопсковської с/р</w:t>
            </w:r>
          </w:p>
        </w:tc>
        <w:tc>
          <w:tcPr>
            <w:tcW w:w="4968" w:type="dxa"/>
          </w:tcPr>
          <w:p w14:paraId="1C845973" w14:textId="77777777" w:rsidR="00B52A44" w:rsidRPr="00B52A44" w:rsidRDefault="00B97C69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hyperlink r:id="rId10" w:tgtFrame="_blank" w:history="1">
              <w:r w:rsidR="00B52A44" w:rsidRPr="00B52A44">
                <w:rPr>
                  <w:rFonts w:ascii="Times New Roman" w:eastAsia="Times New Roman" w:hAnsi="Times New Roman"/>
                  <w:color w:val="1155CC"/>
                  <w:u w:val="single"/>
                  <w:shd w:val="clear" w:color="auto" w:fill="FFFFFF"/>
                </w:rPr>
                <w:t>https://aidarstg.gov.ua/news/1740390155</w:t>
              </w:r>
            </w:hyperlink>
            <w:r w:rsidR="00B52A44" w:rsidRPr="00B52A44">
              <w:rPr>
                <w:rFonts w:ascii="Times New Roman" w:eastAsia="Times New Roman" w:hAnsi="Times New Roman"/>
              </w:rPr>
              <w:t xml:space="preserve">  </w:t>
            </w:r>
          </w:p>
          <w:p w14:paraId="1C6849A7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</w:p>
          <w:p w14:paraId="67DE39F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  </w:t>
            </w:r>
            <w:hyperlink r:id="rId11" w:tgtFrame="_blank" w:history="1">
              <w:r w:rsidRPr="00B52A44">
                <w:rPr>
                  <w:rFonts w:ascii="Times New Roman" w:eastAsia="Times New Roman" w:hAnsi="Times New Roman"/>
                  <w:color w:val="1155CC"/>
                  <w:u w:val="single"/>
                  <w:shd w:val="clear" w:color="auto" w:fill="FFFFFF"/>
                </w:rPr>
                <w:t>https://aidarstg.gov.ua/news/1756117984/</w:t>
              </w:r>
            </w:hyperlink>
            <w:r w:rsidRPr="00B52A44">
              <w:rPr>
                <w:rFonts w:ascii="Times New Roman" w:eastAsia="Times New Roman" w:hAnsi="Times New Roman"/>
              </w:rPr>
              <w:t xml:space="preserve"> </w:t>
            </w:r>
            <w:hyperlink r:id="rId12" w:tgtFrame="_blank" w:history="1">
              <w:r w:rsidRPr="00B52A44">
                <w:rPr>
                  <w:rFonts w:ascii="Times New Roman" w:eastAsia="Times New Roman" w:hAnsi="Times New Roman"/>
                  <w:color w:val="1155CC"/>
                  <w:u w:val="single"/>
                  <w:shd w:val="clear" w:color="auto" w:fill="FFFFFF"/>
                </w:rPr>
                <w:t>https://aidarstg.gov.ua/news/1756117707/</w:t>
              </w:r>
            </w:hyperlink>
            <w:r w:rsidRPr="00B52A44">
              <w:rPr>
                <w:rFonts w:ascii="Times New Roman" w:eastAsia="Times New Roman" w:hAnsi="Times New Roman"/>
              </w:rPr>
              <w:t xml:space="preserve"> </w:t>
            </w:r>
          </w:p>
          <w:p w14:paraId="5362E909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</w:rPr>
            </w:pPr>
            <w:r w:rsidRPr="00B52A44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 </w:t>
            </w:r>
            <w:hyperlink r:id="rId13" w:history="1">
              <w:r w:rsidRPr="00B52A44">
                <w:rPr>
                  <w:rFonts w:ascii="Times New Roman" w:eastAsia="Times New Roman" w:hAnsi="Times New Roman"/>
                  <w:color w:val="0000FF"/>
                  <w:u w:val="single"/>
                  <w:shd w:val="clear" w:color="auto" w:fill="FFFFFF"/>
                </w:rPr>
                <w:t>https://aidarstg.gov.ua/news/1756117345/</w:t>
              </w:r>
            </w:hyperlink>
            <w:r w:rsidRPr="00B52A44">
              <w:rPr>
                <w:rFonts w:ascii="Times New Roman" w:eastAsia="Times New Roman" w:hAnsi="Times New Roman"/>
              </w:rPr>
              <w:t xml:space="preserve"> </w:t>
            </w:r>
          </w:p>
          <w:p w14:paraId="1492E779" w14:textId="77777777" w:rsidR="00B52A44" w:rsidRPr="00B52A44" w:rsidRDefault="00B97C69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B52A44" w:rsidRPr="00B52A4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https://aidarstg.gov.ua/news/1761216988</w:t>
              </w:r>
              <w:r w:rsidR="00B52A44" w:rsidRPr="00B52A44">
                <w:rPr>
                  <w:rFonts w:ascii="Arial" w:eastAsia="Times New Roman" w:hAnsi="Arial" w:cs="Arial"/>
                  <w:color w:val="0000FF"/>
                  <w:u w:val="single"/>
                  <w:shd w:val="clear" w:color="auto" w:fill="FFFFFF"/>
                </w:rPr>
                <w:t>/</w:t>
              </w:r>
            </w:hyperlink>
            <w:r w:rsidR="00B52A44" w:rsidRPr="00B52A44">
              <w:rPr>
                <w:rFonts w:ascii="Times New Roman" w:eastAsia="Times New Roman" w:hAnsi="Times New Roman"/>
              </w:rPr>
              <w:t xml:space="preserve">                                                              </w:t>
            </w:r>
          </w:p>
        </w:tc>
      </w:tr>
      <w:tr w:rsidR="00B52A44" w:rsidRPr="00B52A44" w14:paraId="09118DB8" w14:textId="77777777" w:rsidTr="00782623">
        <w:trPr>
          <w:jc w:val="center"/>
        </w:trPr>
        <w:tc>
          <w:tcPr>
            <w:tcW w:w="15128" w:type="dxa"/>
            <w:gridSpan w:val="8"/>
          </w:tcPr>
          <w:p w14:paraId="7DF3B271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Напрям: </w:t>
            </w:r>
            <w:r w:rsidRPr="00B52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Освітня </w:t>
            </w:r>
            <w:proofErr w:type="spellStart"/>
            <w:r w:rsidRPr="00B52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B52A44" w:rsidRPr="00B52A44" w14:paraId="38F10A9E" w14:textId="77777777" w:rsidTr="00782623">
        <w:trPr>
          <w:jc w:val="center"/>
        </w:trPr>
        <w:tc>
          <w:tcPr>
            <w:tcW w:w="15128" w:type="dxa"/>
            <w:gridSpan w:val="8"/>
          </w:tcPr>
          <w:p w14:paraId="01767848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Стратегічна ціль:  Кожна людина має можливість розкрити потенціал та отримати професію завдяки інклюзивній освіті</w:t>
            </w:r>
          </w:p>
        </w:tc>
      </w:tr>
      <w:tr w:rsidR="00B52A44" w:rsidRPr="00B52A44" w14:paraId="3B5225D1" w14:textId="77777777" w:rsidTr="00782623">
        <w:trPr>
          <w:jc w:val="center"/>
        </w:trPr>
        <w:tc>
          <w:tcPr>
            <w:tcW w:w="2856" w:type="dxa"/>
            <w:gridSpan w:val="2"/>
          </w:tcPr>
          <w:p w14:paraId="12312C8A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Проведення щорічного моніторингу щодо забезпечення реалізації освітніх прав осіб з особливими потребами для кожного рівня здобуття освіти</w:t>
            </w:r>
          </w:p>
        </w:tc>
        <w:tc>
          <w:tcPr>
            <w:tcW w:w="2657" w:type="dxa"/>
          </w:tcPr>
          <w:p w14:paraId="0386609C" w14:textId="77777777" w:rsidR="00B52A44" w:rsidRPr="00B52A44" w:rsidRDefault="00B52A44" w:rsidP="00B52A4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9.1. Визначення критерій оцінювання забезпечення реалізації освітніх прав осіб з особливими потребами для кожного рівня здобуття освіти</w:t>
            </w:r>
          </w:p>
        </w:tc>
        <w:tc>
          <w:tcPr>
            <w:tcW w:w="2114" w:type="dxa"/>
            <w:gridSpan w:val="2"/>
          </w:tcPr>
          <w:p w14:paraId="5534F62B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2533" w:type="dxa"/>
            <w:gridSpan w:val="2"/>
          </w:tcPr>
          <w:p w14:paraId="6BD4C3FB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Відділ освіти Новопсковської с/р</w:t>
            </w:r>
          </w:p>
        </w:tc>
        <w:tc>
          <w:tcPr>
            <w:tcW w:w="4968" w:type="dxa"/>
          </w:tcPr>
          <w:p w14:paraId="5C6F77C2" w14:textId="77777777" w:rsidR="00B52A44" w:rsidRPr="00B52A44" w:rsidRDefault="00B52A44" w:rsidP="00B52A4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52A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Схвалені критерії</w:t>
            </w:r>
          </w:p>
        </w:tc>
      </w:tr>
    </w:tbl>
    <w:p w14:paraId="5981A2AF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D4AF2A8" w14:textId="77777777" w:rsidR="00B52A44" w:rsidRPr="00B52A44" w:rsidRDefault="00B52A44" w:rsidP="00B52A4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D551D" w14:textId="77777777" w:rsidR="003B4DAE" w:rsidRDefault="003B4DAE"/>
    <w:sectPr w:rsidR="003B4DAE" w:rsidSect="00B52A4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4BB2862"/>
    <w:multiLevelType w:val="multilevel"/>
    <w:tmpl w:val="F4BB28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30452D"/>
    <w:multiLevelType w:val="hybridMultilevel"/>
    <w:tmpl w:val="5252A94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45B15"/>
    <w:multiLevelType w:val="hybridMultilevel"/>
    <w:tmpl w:val="8FB6B46C"/>
    <w:lvl w:ilvl="0" w:tplc="EA124252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8C9"/>
    <w:rsid w:val="003628C9"/>
    <w:rsid w:val="003B4DAE"/>
    <w:rsid w:val="003E67FC"/>
    <w:rsid w:val="00B52A44"/>
    <w:rsid w:val="00B97C69"/>
    <w:rsid w:val="00BE5DAD"/>
    <w:rsid w:val="00F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028C"/>
  <w15:chartTrackingRefBased/>
  <w15:docId w15:val="{A6B337D6-0861-45E9-9A8D-10A4F59B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2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2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2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2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2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2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2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2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8C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52A4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arstg.gov.ua/news/1757397633/" TargetMode="External"/><Relationship Id="rId13" Type="http://schemas.openxmlformats.org/officeDocument/2006/relationships/hyperlink" Target="https://aidarstg.gov.ua/news/17561173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opskovrada.gov.ua/zapobigannya-ta-protidiya-domashnomu-nasilstvu-12-28-49-23-01-2023/" TargetMode="External"/><Relationship Id="rId12" Type="http://schemas.openxmlformats.org/officeDocument/2006/relationships/hyperlink" Target="https://aidarstg.gov.ua/news/175611770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ovopskovrada.gov.ua/zapobigannya-ta-protidiya-domashnomu-nasilstvu-12-28-49-23-01-2023/" TargetMode="External"/><Relationship Id="rId11" Type="http://schemas.openxmlformats.org/officeDocument/2006/relationships/hyperlink" Target="https://aidarstg.gov.ua/news/1756117984/" TargetMode="External"/><Relationship Id="rId5" Type="http://schemas.openxmlformats.org/officeDocument/2006/relationships/hyperlink" Target="https://novopskovrada.gov.ua/news/171559045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idarstg.gov.ua/news/17403901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idarstg.gov.ua/news/1756117707/" TargetMode="External"/><Relationship Id="rId14" Type="http://schemas.openxmlformats.org/officeDocument/2006/relationships/hyperlink" Target="https://aidarstg.gov.ua/news/1761216988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10372</Words>
  <Characters>5913</Characters>
  <Application>Microsoft Office Word</Application>
  <DocSecurity>0</DocSecurity>
  <Lines>49</Lines>
  <Paragraphs>32</Paragraphs>
  <ScaleCrop>false</ScaleCrop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Гриб</dc:creator>
  <cp:keywords/>
  <dc:description/>
  <cp:lastModifiedBy>zhdan</cp:lastModifiedBy>
  <cp:revision>2</cp:revision>
  <dcterms:created xsi:type="dcterms:W3CDTF">2025-12-29T06:45:00Z</dcterms:created>
  <dcterms:modified xsi:type="dcterms:W3CDTF">2025-12-29T06:45:00Z</dcterms:modified>
</cp:coreProperties>
</file>