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F01" w:rsidRDefault="007D5F01" w:rsidP="007D5F01">
      <w:pPr>
        <w:jc w:val="right"/>
        <w:rPr>
          <w:sz w:val="26"/>
        </w:rPr>
      </w:pPr>
      <w:proofErr w:type="spellStart"/>
      <w:r>
        <w:rPr>
          <w:sz w:val="26"/>
        </w:rPr>
        <w:t>Додаток</w:t>
      </w:r>
      <w:proofErr w:type="spellEnd"/>
      <w:r>
        <w:rPr>
          <w:sz w:val="26"/>
        </w:rPr>
        <w:t xml:space="preserve"> </w:t>
      </w:r>
      <w:r>
        <w:rPr>
          <w:sz w:val="26"/>
          <w:lang w:val="uk-UA"/>
        </w:rPr>
        <w:t>3</w:t>
      </w:r>
      <w:r>
        <w:rPr>
          <w:sz w:val="26"/>
        </w:rPr>
        <w:t xml:space="preserve"> до листа</w:t>
      </w:r>
    </w:p>
    <w:p w:rsidR="007D5F01" w:rsidRDefault="007D5F01" w:rsidP="007D5F01">
      <w:pPr>
        <w:jc w:val="right"/>
        <w:rPr>
          <w:sz w:val="26"/>
        </w:rPr>
      </w:pPr>
      <w:proofErr w:type="spellStart"/>
      <w:r>
        <w:rPr>
          <w:sz w:val="26"/>
        </w:rPr>
        <w:t>від</w:t>
      </w:r>
      <w:proofErr w:type="spellEnd"/>
      <w:r>
        <w:rPr>
          <w:sz w:val="26"/>
        </w:rPr>
        <w:t xml:space="preserve"> ________№__________</w:t>
      </w:r>
    </w:p>
    <w:p w:rsidR="007D5F01" w:rsidRDefault="007D5F01" w:rsidP="007D5F01">
      <w:pPr>
        <w:jc w:val="right"/>
        <w:rPr>
          <w:b/>
          <w:sz w:val="26"/>
        </w:rPr>
      </w:pPr>
    </w:p>
    <w:p w:rsidR="007D5F01" w:rsidRDefault="007D5F01" w:rsidP="007D5F01">
      <w:pPr>
        <w:jc w:val="center"/>
        <w:rPr>
          <w:b/>
          <w:sz w:val="26"/>
        </w:rPr>
      </w:pPr>
      <w:r>
        <w:rPr>
          <w:b/>
          <w:sz w:val="26"/>
        </w:rPr>
        <w:t xml:space="preserve">Программа </w:t>
      </w:r>
      <w:r>
        <w:rPr>
          <w:b/>
          <w:sz w:val="26"/>
          <w:lang w:val="uk-UA"/>
        </w:rPr>
        <w:t xml:space="preserve">фінансової </w:t>
      </w:r>
      <w:proofErr w:type="gramStart"/>
      <w:r>
        <w:rPr>
          <w:b/>
          <w:sz w:val="26"/>
          <w:lang w:val="uk-UA"/>
        </w:rPr>
        <w:t>п</w:t>
      </w:r>
      <w:proofErr w:type="gramEnd"/>
      <w:r>
        <w:rPr>
          <w:b/>
          <w:sz w:val="26"/>
          <w:lang w:val="uk-UA"/>
        </w:rPr>
        <w:t>ідтримки ЕБРР для МСБ</w:t>
      </w:r>
      <w:r>
        <w:rPr>
          <w:b/>
          <w:sz w:val="26"/>
        </w:rPr>
        <w:t xml:space="preserve"> </w:t>
      </w:r>
    </w:p>
    <w:p w:rsidR="007D5F01" w:rsidRDefault="007D5F01" w:rsidP="007D5F01">
      <w:pPr>
        <w:rPr>
          <w:sz w:val="26"/>
        </w:rPr>
      </w:pPr>
    </w:p>
    <w:tbl>
      <w:tblPr>
        <w:tblW w:w="0" w:type="auto"/>
        <w:tblInd w:w="-176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146"/>
        <w:gridCol w:w="7601"/>
      </w:tblGrid>
      <w:tr w:rsidR="007D5F01" w:rsidRPr="007D5F01" w:rsidTr="007D5F01"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D5F01" w:rsidRDefault="007D5F01">
            <w:pPr>
              <w:rPr>
                <w:b/>
                <w:sz w:val="26"/>
                <w:lang w:val="uk-UA"/>
              </w:rPr>
            </w:pPr>
            <w:r>
              <w:rPr>
                <w:b/>
                <w:sz w:val="26"/>
                <w:lang w:val="uk-UA"/>
              </w:rPr>
              <w:t>Цільовий розмір фінансування</w:t>
            </w:r>
          </w:p>
        </w:tc>
        <w:tc>
          <w:tcPr>
            <w:tcW w:w="7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D5F01" w:rsidRPr="007D5F01" w:rsidRDefault="007D5F01">
            <w:pPr>
              <w:jc w:val="both"/>
              <w:rPr>
                <w:sz w:val="26"/>
                <w:lang w:val="uk-UA"/>
              </w:rPr>
            </w:pPr>
            <w:r w:rsidRPr="007D5F01">
              <w:rPr>
                <w:sz w:val="26"/>
                <w:lang w:val="uk-UA"/>
              </w:rPr>
              <w:t>від 1 млн. до 10 млн. євро (можливість і умови збільшення розміру фінансування обговорюються);</w:t>
            </w:r>
          </w:p>
        </w:tc>
      </w:tr>
      <w:tr w:rsidR="007D5F01" w:rsidTr="007D5F01"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D5F01" w:rsidRDefault="007D5F01">
            <w:pPr>
              <w:ind w:left="-108"/>
              <w:rPr>
                <w:b/>
                <w:sz w:val="26"/>
                <w:lang w:val="uk-UA"/>
              </w:rPr>
            </w:pPr>
            <w:r>
              <w:rPr>
                <w:b/>
                <w:sz w:val="26"/>
                <w:lang w:val="uk-UA"/>
              </w:rPr>
              <w:t>Цільова форма</w:t>
            </w:r>
          </w:p>
        </w:tc>
        <w:tc>
          <w:tcPr>
            <w:tcW w:w="7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D5F01" w:rsidRDefault="007D5F01">
            <w:pPr>
              <w:pStyle w:val="a3"/>
              <w:ind w:left="0"/>
              <w:jc w:val="both"/>
              <w:rPr>
                <w:rFonts w:ascii="Times New Roman" w:hAnsi="Times New Roman"/>
                <w:sz w:val="26"/>
                <w:szCs w:val="20"/>
              </w:rPr>
            </w:pPr>
            <w:r>
              <w:rPr>
                <w:rFonts w:ascii="Times New Roman" w:hAnsi="Times New Roman"/>
                <w:sz w:val="26"/>
                <w:szCs w:val="20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прямий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кредит Банку,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номінований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гривні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євро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або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дол. США (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відсутність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обмежень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НБУ по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виплаті</w:t>
            </w:r>
            <w:proofErr w:type="spellEnd"/>
            <w:r>
              <w:rPr>
                <w:rFonts w:ascii="Times New Roman" w:hAnsi="Times New Roman"/>
                <w:sz w:val="26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0"/>
              </w:rPr>
              <w:t xml:space="preserve">% і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повернення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позики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Банку);</w:t>
            </w:r>
          </w:p>
          <w:p w:rsidR="007D5F01" w:rsidRDefault="007D5F01">
            <w:pPr>
              <w:pStyle w:val="a3"/>
              <w:ind w:left="0"/>
              <w:jc w:val="both"/>
              <w:rPr>
                <w:rFonts w:ascii="Times New Roman" w:hAnsi="Times New Roman"/>
                <w:sz w:val="26"/>
                <w:szCs w:val="20"/>
              </w:rPr>
            </w:pPr>
            <w:r>
              <w:rPr>
                <w:rFonts w:ascii="Times New Roman" w:hAnsi="Times New Roman"/>
                <w:sz w:val="26"/>
                <w:szCs w:val="20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конвертація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позики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капітал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або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можливість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вкладень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акціонерний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капітал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часткою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Банку до 35%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обговорюється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додатково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>;</w:t>
            </w:r>
          </w:p>
        </w:tc>
      </w:tr>
      <w:tr w:rsidR="007D5F01" w:rsidTr="007D5F01"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D5F01" w:rsidRDefault="007D5F01">
            <w:pPr>
              <w:rPr>
                <w:b/>
                <w:sz w:val="26"/>
                <w:lang w:val="uk-UA"/>
              </w:rPr>
            </w:pPr>
            <w:r>
              <w:rPr>
                <w:b/>
                <w:sz w:val="26"/>
                <w:lang w:val="uk-UA"/>
              </w:rPr>
              <w:t>Цільовий термін фінансування</w:t>
            </w:r>
          </w:p>
        </w:tc>
        <w:tc>
          <w:tcPr>
            <w:tcW w:w="7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D5F01" w:rsidRDefault="007D5F01">
            <w:pPr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від</w:t>
            </w:r>
            <w:proofErr w:type="spellEnd"/>
            <w:r>
              <w:rPr>
                <w:sz w:val="26"/>
              </w:rPr>
              <w:t xml:space="preserve"> 3-х до 10 </w:t>
            </w:r>
            <w:proofErr w:type="spellStart"/>
            <w:r>
              <w:rPr>
                <w:sz w:val="26"/>
              </w:rPr>
              <w:t>років</w:t>
            </w:r>
            <w:proofErr w:type="spellEnd"/>
            <w:r>
              <w:rPr>
                <w:sz w:val="26"/>
              </w:rPr>
              <w:t xml:space="preserve"> (</w:t>
            </w:r>
            <w:proofErr w:type="spellStart"/>
            <w:r>
              <w:rPr>
                <w:sz w:val="26"/>
              </w:rPr>
              <w:t>можливість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збільшення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терміну</w:t>
            </w:r>
            <w:proofErr w:type="spellEnd"/>
            <w:r>
              <w:rPr>
                <w:sz w:val="26"/>
              </w:rPr>
              <w:t xml:space="preserve"> до 15 </w:t>
            </w:r>
            <w:proofErr w:type="spellStart"/>
            <w:r>
              <w:rPr>
                <w:sz w:val="26"/>
              </w:rPr>
              <w:t>рокі</w:t>
            </w:r>
            <w:proofErr w:type="gramStart"/>
            <w:r>
              <w:rPr>
                <w:sz w:val="26"/>
              </w:rPr>
              <w:t>в</w:t>
            </w:r>
            <w:proofErr w:type="spellEnd"/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обговорюється</w:t>
            </w:r>
            <w:proofErr w:type="spellEnd"/>
            <w:r>
              <w:rPr>
                <w:sz w:val="26"/>
              </w:rPr>
              <w:t>);</w:t>
            </w:r>
          </w:p>
        </w:tc>
      </w:tr>
      <w:tr w:rsidR="007D5F01" w:rsidTr="007D5F01"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D5F01" w:rsidRDefault="007D5F01">
            <w:pPr>
              <w:rPr>
                <w:b/>
                <w:sz w:val="26"/>
                <w:lang w:val="uk-UA"/>
              </w:rPr>
            </w:pPr>
            <w:r>
              <w:rPr>
                <w:b/>
                <w:sz w:val="26"/>
                <w:lang w:val="uk-UA"/>
              </w:rPr>
              <w:t xml:space="preserve">Цільовий термін структурування </w:t>
            </w:r>
            <w:proofErr w:type="spellStart"/>
            <w:r>
              <w:rPr>
                <w:b/>
                <w:sz w:val="26"/>
                <w:lang w:val="uk-UA"/>
              </w:rPr>
              <w:t>кредита</w:t>
            </w:r>
            <w:proofErr w:type="spellEnd"/>
          </w:p>
        </w:tc>
        <w:tc>
          <w:tcPr>
            <w:tcW w:w="7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D5F01" w:rsidRDefault="007D5F01">
            <w:pPr>
              <w:pStyle w:val="a3"/>
              <w:ind w:left="0"/>
              <w:jc w:val="both"/>
              <w:rPr>
                <w:rFonts w:ascii="Times New Roman" w:hAnsi="Times New Roman"/>
                <w:sz w:val="26"/>
                <w:szCs w:val="20"/>
              </w:rPr>
            </w:pPr>
            <w:r>
              <w:rPr>
                <w:rFonts w:ascii="Times New Roman" w:hAnsi="Times New Roman"/>
                <w:sz w:val="26"/>
                <w:szCs w:val="20"/>
              </w:rPr>
              <w:t xml:space="preserve">9-12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місяців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(з моменту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в Банк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документації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>):</w:t>
            </w:r>
          </w:p>
          <w:p w:rsidR="007D5F01" w:rsidRDefault="007D5F01">
            <w:pPr>
              <w:pStyle w:val="a3"/>
              <w:ind w:left="0"/>
              <w:jc w:val="both"/>
              <w:rPr>
                <w:rFonts w:ascii="Times New Roman" w:hAnsi="Times New Roman"/>
                <w:sz w:val="26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проведення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поглибленої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фінансової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юридичної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та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0"/>
              </w:rPr>
              <w:t>техн</w:t>
            </w:r>
            <w:proofErr w:type="gramEnd"/>
            <w:r>
              <w:rPr>
                <w:rFonts w:ascii="Times New Roman" w:hAnsi="Times New Roman"/>
                <w:sz w:val="26"/>
                <w:szCs w:val="20"/>
              </w:rPr>
              <w:t>ічної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перевірки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>;</w:t>
            </w:r>
          </w:p>
          <w:p w:rsidR="007D5F01" w:rsidRDefault="007D5F0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структурування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умов і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видача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кредиту;</w:t>
            </w:r>
          </w:p>
        </w:tc>
      </w:tr>
      <w:tr w:rsidR="007D5F01" w:rsidTr="007D5F01"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D5F01" w:rsidRDefault="007D5F01">
            <w:pPr>
              <w:rPr>
                <w:b/>
                <w:sz w:val="26"/>
                <w:lang w:val="uk-UA"/>
              </w:rPr>
            </w:pPr>
            <w:r>
              <w:rPr>
                <w:b/>
                <w:sz w:val="26"/>
                <w:lang w:val="uk-UA"/>
              </w:rPr>
              <w:t>Цільова ставка</w:t>
            </w:r>
          </w:p>
          <w:p w:rsidR="007D5F01" w:rsidRDefault="007D5F01">
            <w:pPr>
              <w:rPr>
                <w:b/>
                <w:sz w:val="26"/>
              </w:rPr>
            </w:pPr>
          </w:p>
        </w:tc>
        <w:tc>
          <w:tcPr>
            <w:tcW w:w="7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D5F01" w:rsidRDefault="007D5F01">
            <w:pPr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Міжбанківська</w:t>
            </w:r>
            <w:proofErr w:type="spellEnd"/>
            <w:r>
              <w:rPr>
                <w:sz w:val="26"/>
              </w:rPr>
              <w:t xml:space="preserve"> ставка (</w:t>
            </w:r>
            <w:proofErr w:type="spellStart"/>
            <w:r>
              <w:rPr>
                <w:sz w:val="26"/>
              </w:rPr>
              <w:t>Libor</w:t>
            </w:r>
            <w:proofErr w:type="spellEnd"/>
            <w:r>
              <w:rPr>
                <w:sz w:val="26"/>
              </w:rPr>
              <w:t xml:space="preserve"> / </w:t>
            </w:r>
            <w:proofErr w:type="spellStart"/>
            <w:r>
              <w:rPr>
                <w:sz w:val="26"/>
              </w:rPr>
              <w:t>Euribor</w:t>
            </w:r>
            <w:proofErr w:type="spellEnd"/>
            <w:r>
              <w:rPr>
                <w:sz w:val="26"/>
              </w:rPr>
              <w:t xml:space="preserve"> для </w:t>
            </w:r>
            <w:proofErr w:type="spellStart"/>
            <w:r>
              <w:rPr>
                <w:sz w:val="26"/>
              </w:rPr>
              <w:t>валюти</w:t>
            </w:r>
            <w:proofErr w:type="spellEnd"/>
            <w:r>
              <w:rPr>
                <w:sz w:val="26"/>
              </w:rPr>
              <w:t xml:space="preserve">) + </w:t>
            </w:r>
            <w:proofErr w:type="spellStart"/>
            <w:r>
              <w:rPr>
                <w:sz w:val="26"/>
              </w:rPr>
              <w:t>ринкова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proofErr w:type="gramStart"/>
            <w:r>
              <w:rPr>
                <w:sz w:val="26"/>
              </w:rPr>
              <w:t>прем</w:t>
            </w:r>
            <w:proofErr w:type="gramEnd"/>
            <w:r>
              <w:rPr>
                <w:sz w:val="26"/>
              </w:rPr>
              <w:t>ія</w:t>
            </w:r>
            <w:proofErr w:type="spellEnd"/>
            <w:r>
              <w:rPr>
                <w:sz w:val="26"/>
              </w:rPr>
              <w:t xml:space="preserve"> за </w:t>
            </w:r>
            <w:proofErr w:type="spellStart"/>
            <w:r>
              <w:rPr>
                <w:sz w:val="26"/>
              </w:rPr>
              <w:t>ризик</w:t>
            </w:r>
            <w:proofErr w:type="spellEnd"/>
            <w:r>
              <w:rPr>
                <w:sz w:val="26"/>
              </w:rPr>
              <w:t xml:space="preserve"> (</w:t>
            </w:r>
            <w:proofErr w:type="spellStart"/>
            <w:r>
              <w:rPr>
                <w:sz w:val="26"/>
              </w:rPr>
              <w:t>обговорюється</w:t>
            </w:r>
            <w:proofErr w:type="spellEnd"/>
            <w:r>
              <w:rPr>
                <w:sz w:val="26"/>
              </w:rPr>
              <w:t xml:space="preserve">, як </w:t>
            </w:r>
            <w:proofErr w:type="spellStart"/>
            <w:r>
              <w:rPr>
                <w:sz w:val="26"/>
              </w:rPr>
              <w:t>плаваюча</w:t>
            </w:r>
            <w:proofErr w:type="spellEnd"/>
            <w:r>
              <w:rPr>
                <w:sz w:val="26"/>
              </w:rPr>
              <w:t xml:space="preserve">, так і </w:t>
            </w:r>
            <w:proofErr w:type="spellStart"/>
            <w:r>
              <w:rPr>
                <w:sz w:val="26"/>
              </w:rPr>
              <w:t>фіксована</w:t>
            </w:r>
            <w:proofErr w:type="spellEnd"/>
            <w:r>
              <w:rPr>
                <w:sz w:val="26"/>
              </w:rPr>
              <w:t xml:space="preserve"> ставка);</w:t>
            </w:r>
          </w:p>
        </w:tc>
      </w:tr>
      <w:tr w:rsidR="007D5F01" w:rsidTr="007D5F01"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D5F01" w:rsidRDefault="007D5F01">
            <w:pPr>
              <w:rPr>
                <w:b/>
                <w:sz w:val="26"/>
                <w:lang w:val="uk-UA"/>
              </w:rPr>
            </w:pPr>
            <w:r>
              <w:rPr>
                <w:b/>
                <w:sz w:val="26"/>
                <w:lang w:val="uk-UA"/>
              </w:rPr>
              <w:t xml:space="preserve">Забезпечення </w:t>
            </w:r>
          </w:p>
        </w:tc>
        <w:tc>
          <w:tcPr>
            <w:tcW w:w="7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D5F01" w:rsidRDefault="007D5F01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Застава </w:t>
            </w:r>
            <w:proofErr w:type="spellStart"/>
            <w:r>
              <w:rPr>
                <w:sz w:val="26"/>
              </w:rPr>
              <w:t>активів</w:t>
            </w:r>
            <w:proofErr w:type="spellEnd"/>
            <w:r>
              <w:rPr>
                <w:sz w:val="26"/>
              </w:rPr>
              <w:t xml:space="preserve"> (з </w:t>
            </w:r>
            <w:proofErr w:type="spellStart"/>
            <w:r>
              <w:rPr>
                <w:sz w:val="26"/>
              </w:rPr>
              <w:t>урахуванням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незалежної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оцінки</w:t>
            </w:r>
            <w:proofErr w:type="spellEnd"/>
            <w:r>
              <w:rPr>
                <w:sz w:val="26"/>
              </w:rPr>
              <w:t xml:space="preserve">) в </w:t>
            </w:r>
            <w:proofErr w:type="spellStart"/>
            <w:r>
              <w:rPr>
                <w:sz w:val="26"/>
              </w:rPr>
              <w:t>розмі</w:t>
            </w:r>
            <w:proofErr w:type="gramStart"/>
            <w:r>
              <w:rPr>
                <w:sz w:val="26"/>
              </w:rPr>
              <w:t>р</w:t>
            </w:r>
            <w:proofErr w:type="gramEnd"/>
            <w:r>
              <w:rPr>
                <w:sz w:val="26"/>
              </w:rPr>
              <w:t>і</w:t>
            </w:r>
            <w:proofErr w:type="spellEnd"/>
            <w:r>
              <w:rPr>
                <w:sz w:val="26"/>
              </w:rPr>
              <w:t xml:space="preserve"> 1.5x до </w:t>
            </w:r>
            <w:proofErr w:type="spellStart"/>
            <w:r>
              <w:rPr>
                <w:sz w:val="26"/>
              </w:rPr>
              <w:t>суми</w:t>
            </w:r>
            <w:proofErr w:type="spellEnd"/>
            <w:r>
              <w:rPr>
                <w:sz w:val="26"/>
              </w:rPr>
              <w:t xml:space="preserve"> кредиту і </w:t>
            </w:r>
            <w:proofErr w:type="spellStart"/>
            <w:r>
              <w:rPr>
                <w:sz w:val="26"/>
              </w:rPr>
              <w:t>корпоративних</w:t>
            </w:r>
            <w:proofErr w:type="spellEnd"/>
            <w:r>
              <w:rPr>
                <w:sz w:val="26"/>
              </w:rPr>
              <w:t xml:space="preserve"> прав + </w:t>
            </w:r>
            <w:proofErr w:type="spellStart"/>
            <w:r>
              <w:rPr>
                <w:sz w:val="26"/>
              </w:rPr>
              <w:t>інші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форми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забезпечення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що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дозволяють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знизити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премію</w:t>
            </w:r>
            <w:proofErr w:type="spellEnd"/>
            <w:r>
              <w:rPr>
                <w:sz w:val="26"/>
              </w:rPr>
              <w:t xml:space="preserve"> за </w:t>
            </w:r>
            <w:proofErr w:type="spellStart"/>
            <w:r>
              <w:rPr>
                <w:sz w:val="26"/>
              </w:rPr>
              <w:t>ризик</w:t>
            </w:r>
            <w:proofErr w:type="spellEnd"/>
            <w:r>
              <w:rPr>
                <w:sz w:val="26"/>
              </w:rPr>
              <w:t>;</w:t>
            </w:r>
          </w:p>
        </w:tc>
      </w:tr>
      <w:tr w:rsidR="007D5F01" w:rsidTr="007D5F01"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D5F01" w:rsidRDefault="007D5F01">
            <w:pPr>
              <w:rPr>
                <w:b/>
                <w:sz w:val="26"/>
                <w:lang w:val="uk-UA"/>
              </w:rPr>
            </w:pPr>
            <w:proofErr w:type="spellStart"/>
            <w:r>
              <w:rPr>
                <w:b/>
                <w:sz w:val="26"/>
              </w:rPr>
              <w:t>Субс</w:t>
            </w:r>
            <w:r>
              <w:rPr>
                <w:b/>
                <w:sz w:val="26"/>
                <w:lang w:val="uk-UA"/>
              </w:rPr>
              <w:t>идія</w:t>
            </w:r>
            <w:proofErr w:type="spellEnd"/>
          </w:p>
        </w:tc>
        <w:tc>
          <w:tcPr>
            <w:tcW w:w="7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D5F01" w:rsidRDefault="007D5F01">
            <w:pPr>
              <w:pStyle w:val="a3"/>
              <w:ind w:left="0"/>
              <w:jc w:val="both"/>
              <w:rPr>
                <w:rFonts w:ascii="Times New Roman" w:hAnsi="Times New Roman"/>
                <w:sz w:val="26"/>
                <w:szCs w:val="20"/>
              </w:rPr>
            </w:pPr>
            <w:r>
              <w:rPr>
                <w:rFonts w:ascii="Times New Roman" w:hAnsi="Times New Roman"/>
                <w:sz w:val="26"/>
                <w:szCs w:val="20"/>
                <w:lang w:val="uk-UA"/>
              </w:rPr>
              <w:t>-</w:t>
            </w:r>
            <w:r>
              <w:rPr>
                <w:rFonts w:ascii="Times New Roman" w:hAnsi="Times New Roman"/>
                <w:sz w:val="26"/>
                <w:szCs w:val="20"/>
              </w:rPr>
              <w:t xml:space="preserve">Банк не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субсидує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проекти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і не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надає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пільги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>, але</w:t>
            </w:r>
            <w:r>
              <w:rPr>
                <w:rFonts w:ascii="Times New Roman" w:hAnsi="Times New Roman"/>
                <w:sz w:val="26"/>
                <w:szCs w:val="20"/>
                <w:lang w:val="uk-UA"/>
              </w:rPr>
              <w:t xml:space="preserve"> е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фективна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вартість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фінансування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може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бути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знижена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за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рахунок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використання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грантів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, в т. ч. для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проведення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аудиту за МСФЗ,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отримання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кваліфікованих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консультацій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щодо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реструктуризації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корпоративного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впровадження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технологій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розробки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ТЕО </w:t>
            </w:r>
            <w:r>
              <w:rPr>
                <w:rFonts w:ascii="Times New Roman" w:hAnsi="Times New Roman"/>
                <w:sz w:val="26"/>
                <w:szCs w:val="20"/>
                <w:lang w:val="uk-UA"/>
              </w:rPr>
              <w:t>та</w:t>
            </w:r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і</w:t>
            </w:r>
            <w:proofErr w:type="gramStart"/>
            <w:r>
              <w:rPr>
                <w:rFonts w:ascii="Times New Roman" w:hAnsi="Times New Roman"/>
                <w:sz w:val="26"/>
                <w:szCs w:val="20"/>
              </w:rPr>
              <w:t>н</w:t>
            </w:r>
            <w:proofErr w:type="spellEnd"/>
            <w:proofErr w:type="gramEnd"/>
            <w:r>
              <w:rPr>
                <w:rFonts w:ascii="Times New Roman" w:hAnsi="Times New Roman"/>
                <w:sz w:val="26"/>
                <w:szCs w:val="20"/>
              </w:rPr>
              <w:t>.;</w:t>
            </w:r>
          </w:p>
        </w:tc>
      </w:tr>
      <w:tr w:rsidR="007D5F01" w:rsidTr="007D5F01"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D5F01" w:rsidRDefault="007D5F01">
            <w:pPr>
              <w:rPr>
                <w:b/>
                <w:sz w:val="26"/>
                <w:lang w:val="uk-UA"/>
              </w:rPr>
            </w:pPr>
            <w:r>
              <w:rPr>
                <w:b/>
                <w:sz w:val="26"/>
                <w:lang w:val="uk-UA"/>
              </w:rPr>
              <w:t>Вимоги</w:t>
            </w:r>
          </w:p>
        </w:tc>
        <w:tc>
          <w:tcPr>
            <w:tcW w:w="7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D5F01" w:rsidRDefault="007D5F01">
            <w:pPr>
              <w:jc w:val="both"/>
              <w:rPr>
                <w:sz w:val="26"/>
              </w:rPr>
            </w:pPr>
            <w:r>
              <w:rPr>
                <w:sz w:val="26"/>
                <w:lang w:val="uk-UA"/>
              </w:rPr>
              <w:t>-</w:t>
            </w:r>
            <w:r>
              <w:rPr>
                <w:sz w:val="26"/>
              </w:rPr>
              <w:t xml:space="preserve">EBITDA (за </w:t>
            </w:r>
            <w:proofErr w:type="spellStart"/>
            <w:r>
              <w:rPr>
                <w:sz w:val="26"/>
              </w:rPr>
              <w:t>середнім</w:t>
            </w:r>
            <w:proofErr w:type="spellEnd"/>
            <w:r>
              <w:rPr>
                <w:sz w:val="26"/>
              </w:rPr>
              <w:t xml:space="preserve"> курсом за </w:t>
            </w:r>
            <w:proofErr w:type="spellStart"/>
            <w:r>
              <w:rPr>
                <w:sz w:val="26"/>
              </w:rPr>
              <w:t>період</w:t>
            </w:r>
            <w:proofErr w:type="spellEnd"/>
            <w:r>
              <w:rPr>
                <w:sz w:val="26"/>
              </w:rPr>
              <w:t xml:space="preserve">) </w:t>
            </w:r>
            <w:proofErr w:type="spellStart"/>
            <w:r>
              <w:rPr>
                <w:sz w:val="26"/>
              </w:rPr>
              <w:t>від</w:t>
            </w:r>
            <w:proofErr w:type="spellEnd"/>
            <w:r>
              <w:rPr>
                <w:sz w:val="26"/>
              </w:rPr>
              <w:t xml:space="preserve"> 1 млн </w:t>
            </w:r>
            <w:proofErr w:type="spellStart"/>
            <w:r>
              <w:rPr>
                <w:sz w:val="26"/>
              </w:rPr>
              <w:t>євро</w:t>
            </w:r>
            <w:proofErr w:type="spellEnd"/>
            <w:r>
              <w:rPr>
                <w:sz w:val="26"/>
              </w:rPr>
              <w:t>;</w:t>
            </w:r>
          </w:p>
          <w:p w:rsidR="007D5F01" w:rsidRDefault="007D5F01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Сума </w:t>
            </w:r>
            <w:proofErr w:type="spellStart"/>
            <w:r>
              <w:rPr>
                <w:sz w:val="26"/>
              </w:rPr>
              <w:t>всіх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існуючих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кредитів</w:t>
            </w:r>
            <w:proofErr w:type="spellEnd"/>
            <w:r>
              <w:rPr>
                <w:sz w:val="26"/>
              </w:rPr>
              <w:t xml:space="preserve"> і планов</w:t>
            </w:r>
            <w:proofErr w:type="spellStart"/>
            <w:r>
              <w:rPr>
                <w:sz w:val="26"/>
                <w:lang w:val="uk-UA"/>
              </w:rPr>
              <w:t>ої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позики</w:t>
            </w:r>
            <w:proofErr w:type="spellEnd"/>
            <w:r>
              <w:rPr>
                <w:sz w:val="26"/>
              </w:rPr>
              <w:t xml:space="preserve"> Банку не </w:t>
            </w:r>
            <w:proofErr w:type="spellStart"/>
            <w:r>
              <w:rPr>
                <w:sz w:val="26"/>
              </w:rPr>
              <w:t>вище</w:t>
            </w:r>
            <w:proofErr w:type="spellEnd"/>
            <w:r>
              <w:rPr>
                <w:sz w:val="26"/>
              </w:rPr>
              <w:t xml:space="preserve"> 2.5x </w:t>
            </w:r>
            <w:proofErr w:type="spellStart"/>
            <w:r>
              <w:rPr>
                <w:sz w:val="26"/>
              </w:rPr>
              <w:t>фактичної</w:t>
            </w:r>
            <w:proofErr w:type="spellEnd"/>
            <w:r>
              <w:rPr>
                <w:sz w:val="26"/>
              </w:rPr>
              <w:t xml:space="preserve"> EBITDA;</w:t>
            </w:r>
          </w:p>
          <w:p w:rsidR="007D5F01" w:rsidRDefault="007D5F01">
            <w:pPr>
              <w:jc w:val="both"/>
              <w:rPr>
                <w:sz w:val="26"/>
              </w:rPr>
            </w:pPr>
            <w:r>
              <w:rPr>
                <w:sz w:val="26"/>
                <w:lang w:val="uk-UA"/>
              </w:rPr>
              <w:t>-</w:t>
            </w:r>
            <w:proofErr w:type="spellStart"/>
            <w:r>
              <w:rPr>
                <w:sz w:val="26"/>
              </w:rPr>
              <w:t>Відповідність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критеріям</w:t>
            </w:r>
            <w:proofErr w:type="spellEnd"/>
            <w:r>
              <w:rPr>
                <w:sz w:val="26"/>
              </w:rPr>
              <w:t xml:space="preserve"> МCП:</w:t>
            </w:r>
          </w:p>
          <w:p w:rsidR="007D5F01" w:rsidRDefault="007D5F01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1. </w:t>
            </w:r>
            <w:proofErr w:type="spellStart"/>
            <w:r>
              <w:rPr>
                <w:sz w:val="26"/>
              </w:rPr>
              <w:t>Кількість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працівників</w:t>
            </w:r>
            <w:proofErr w:type="spellEnd"/>
            <w:r>
              <w:rPr>
                <w:sz w:val="26"/>
              </w:rPr>
              <w:t xml:space="preserve"> (на </w:t>
            </w:r>
            <w:proofErr w:type="spellStart"/>
            <w:r>
              <w:rPr>
                <w:sz w:val="26"/>
              </w:rPr>
              <w:t>повній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ставці</w:t>
            </w:r>
            <w:proofErr w:type="spellEnd"/>
            <w:r>
              <w:rPr>
                <w:sz w:val="26"/>
              </w:rPr>
              <w:t xml:space="preserve">) - не </w:t>
            </w:r>
            <w:proofErr w:type="spellStart"/>
            <w:r>
              <w:rPr>
                <w:sz w:val="26"/>
              </w:rPr>
              <w:t>вище</w:t>
            </w:r>
            <w:proofErr w:type="spellEnd"/>
            <w:r>
              <w:rPr>
                <w:sz w:val="26"/>
              </w:rPr>
              <w:t xml:space="preserve"> 500 </w:t>
            </w:r>
            <w:proofErr w:type="spellStart"/>
            <w:r>
              <w:rPr>
                <w:sz w:val="26"/>
              </w:rPr>
              <w:t>осіб</w:t>
            </w:r>
            <w:proofErr w:type="spellEnd"/>
            <w:r>
              <w:rPr>
                <w:sz w:val="26"/>
              </w:rPr>
              <w:t>;</w:t>
            </w:r>
          </w:p>
          <w:p w:rsidR="007D5F01" w:rsidRDefault="007D5F01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2.а. </w:t>
            </w:r>
            <w:proofErr w:type="spellStart"/>
            <w:proofErr w:type="gramStart"/>
            <w:r>
              <w:rPr>
                <w:sz w:val="26"/>
              </w:rPr>
              <w:t>Р</w:t>
            </w:r>
            <w:proofErr w:type="gramEnd"/>
            <w:r>
              <w:rPr>
                <w:sz w:val="26"/>
              </w:rPr>
              <w:t>ічний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обсяг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реалізації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підприємства</w:t>
            </w:r>
            <w:proofErr w:type="spellEnd"/>
            <w:r>
              <w:rPr>
                <w:sz w:val="26"/>
              </w:rPr>
              <w:t xml:space="preserve"> / холдингу - не </w:t>
            </w:r>
            <w:proofErr w:type="spellStart"/>
            <w:r>
              <w:rPr>
                <w:sz w:val="26"/>
              </w:rPr>
              <w:t>вище</w:t>
            </w:r>
            <w:proofErr w:type="spellEnd"/>
            <w:r>
              <w:rPr>
                <w:sz w:val="26"/>
              </w:rPr>
              <w:t xml:space="preserve"> 50 млн </w:t>
            </w:r>
            <w:proofErr w:type="spellStart"/>
            <w:r>
              <w:rPr>
                <w:sz w:val="26"/>
              </w:rPr>
              <w:t>євро</w:t>
            </w:r>
            <w:proofErr w:type="spellEnd"/>
            <w:r>
              <w:rPr>
                <w:sz w:val="26"/>
              </w:rPr>
              <w:t xml:space="preserve"> за </w:t>
            </w:r>
            <w:proofErr w:type="spellStart"/>
            <w:r>
              <w:rPr>
                <w:sz w:val="26"/>
              </w:rPr>
              <w:t>середнім</w:t>
            </w:r>
            <w:proofErr w:type="spellEnd"/>
            <w:r>
              <w:rPr>
                <w:sz w:val="26"/>
              </w:rPr>
              <w:t xml:space="preserve"> курсом, </w:t>
            </w:r>
            <w:proofErr w:type="spellStart"/>
            <w:r>
              <w:rPr>
                <w:sz w:val="26"/>
              </w:rPr>
              <w:t>або</w:t>
            </w:r>
            <w:proofErr w:type="spellEnd"/>
          </w:p>
          <w:p w:rsidR="007D5F01" w:rsidRDefault="007D5F01">
            <w:pPr>
              <w:jc w:val="both"/>
              <w:rPr>
                <w:sz w:val="26"/>
              </w:rPr>
            </w:pPr>
            <w:r>
              <w:rPr>
                <w:sz w:val="26"/>
              </w:rPr>
              <w:t>2.</w:t>
            </w:r>
            <w:r>
              <w:rPr>
                <w:sz w:val="26"/>
                <w:lang w:val="uk-UA"/>
              </w:rPr>
              <w:t>б</w:t>
            </w:r>
            <w:r>
              <w:rPr>
                <w:sz w:val="26"/>
              </w:rPr>
              <w:t xml:space="preserve">. </w:t>
            </w:r>
            <w:proofErr w:type="spellStart"/>
            <w:r>
              <w:rPr>
                <w:sz w:val="26"/>
              </w:rPr>
              <w:t>Обсяг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активів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proofErr w:type="gramStart"/>
            <w:r>
              <w:rPr>
                <w:sz w:val="26"/>
              </w:rPr>
              <w:t>п</w:t>
            </w:r>
            <w:proofErr w:type="gramEnd"/>
            <w:r>
              <w:rPr>
                <w:sz w:val="26"/>
              </w:rPr>
              <w:t>ідприємства</w:t>
            </w:r>
            <w:proofErr w:type="spellEnd"/>
            <w:r>
              <w:rPr>
                <w:sz w:val="26"/>
              </w:rPr>
              <w:t xml:space="preserve"> / холдингу - не </w:t>
            </w:r>
            <w:proofErr w:type="spellStart"/>
            <w:r>
              <w:rPr>
                <w:sz w:val="26"/>
              </w:rPr>
              <w:t>вище</w:t>
            </w:r>
            <w:proofErr w:type="spellEnd"/>
            <w:r>
              <w:rPr>
                <w:sz w:val="26"/>
              </w:rPr>
              <w:t xml:space="preserve"> 43 млн </w:t>
            </w:r>
            <w:proofErr w:type="spellStart"/>
            <w:r>
              <w:rPr>
                <w:sz w:val="26"/>
              </w:rPr>
              <w:t>євро</w:t>
            </w:r>
            <w:proofErr w:type="spellEnd"/>
            <w:r>
              <w:rPr>
                <w:sz w:val="26"/>
              </w:rPr>
              <w:t xml:space="preserve"> за курсом на </w:t>
            </w:r>
            <w:proofErr w:type="spellStart"/>
            <w:r>
              <w:rPr>
                <w:sz w:val="26"/>
              </w:rPr>
              <w:t>звітну</w:t>
            </w:r>
            <w:proofErr w:type="spellEnd"/>
            <w:r>
              <w:rPr>
                <w:sz w:val="26"/>
              </w:rPr>
              <w:t xml:space="preserve"> дату;</w:t>
            </w:r>
          </w:p>
        </w:tc>
      </w:tr>
      <w:tr w:rsidR="007D5F01" w:rsidTr="007D5F01"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D5F01" w:rsidRDefault="007D5F01">
            <w:pPr>
              <w:rPr>
                <w:b/>
                <w:sz w:val="26"/>
                <w:lang w:val="uk-UA"/>
              </w:rPr>
            </w:pPr>
            <w:r>
              <w:rPr>
                <w:b/>
                <w:sz w:val="26"/>
                <w:lang w:val="uk-UA"/>
              </w:rPr>
              <w:t>Цільове використання</w:t>
            </w:r>
          </w:p>
        </w:tc>
        <w:tc>
          <w:tcPr>
            <w:tcW w:w="7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D5F01" w:rsidRDefault="007D5F01" w:rsidP="00866A2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6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Придбання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6"/>
                <w:szCs w:val="20"/>
              </w:rPr>
              <w:t>ідприємств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розширення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інновації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підвищення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конкурентоспроможності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експортного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потенціалу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ефективності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(в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енергоефективності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>);</w:t>
            </w:r>
          </w:p>
          <w:p w:rsidR="007D5F01" w:rsidRDefault="007D5F01" w:rsidP="00866A2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6"/>
                <w:szCs w:val="20"/>
              </w:rPr>
            </w:pPr>
            <w:r>
              <w:rPr>
                <w:rFonts w:ascii="Times New Roman" w:hAnsi="Times New Roman"/>
                <w:sz w:val="26"/>
                <w:szCs w:val="20"/>
              </w:rPr>
              <w:lastRenderedPageBreak/>
              <w:t xml:space="preserve"> С</w:t>
            </w:r>
            <w:proofErr w:type="spellStart"/>
            <w:r>
              <w:rPr>
                <w:rFonts w:ascii="Times New Roman" w:hAnsi="Times New Roman"/>
                <w:sz w:val="26"/>
                <w:szCs w:val="20"/>
                <w:lang w:val="uk-UA"/>
              </w:rPr>
              <w:t>уворо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контролюється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Банком на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всіх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етапах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фінансування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>;</w:t>
            </w:r>
          </w:p>
          <w:p w:rsidR="007D5F01" w:rsidRDefault="007D5F01" w:rsidP="00866A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0"/>
              </w:rPr>
            </w:pPr>
            <w:r>
              <w:rPr>
                <w:rFonts w:ascii="Times New Roman" w:hAnsi="Times New Roman"/>
                <w:sz w:val="26"/>
                <w:szCs w:val="20"/>
              </w:rPr>
              <w:t xml:space="preserve"> Банк не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надає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кошти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цілей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рефінансування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існуючих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кредиті</w:t>
            </w:r>
            <w:proofErr w:type="gramStart"/>
            <w:r>
              <w:rPr>
                <w:rFonts w:ascii="Times New Roman" w:hAnsi="Times New Roman"/>
                <w:sz w:val="26"/>
                <w:szCs w:val="20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z w:val="26"/>
                <w:szCs w:val="20"/>
              </w:rPr>
              <w:t>;</w:t>
            </w:r>
          </w:p>
        </w:tc>
      </w:tr>
      <w:tr w:rsidR="007D5F01" w:rsidTr="007D5F01"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D5F01" w:rsidRDefault="007D5F01">
            <w:pPr>
              <w:rPr>
                <w:b/>
                <w:sz w:val="26"/>
                <w:lang w:val="uk-UA"/>
              </w:rPr>
            </w:pPr>
            <w:r>
              <w:rPr>
                <w:b/>
                <w:sz w:val="26"/>
                <w:lang w:val="uk-UA"/>
              </w:rPr>
              <w:lastRenderedPageBreak/>
              <w:t>Умови співробітництва</w:t>
            </w:r>
          </w:p>
        </w:tc>
        <w:tc>
          <w:tcPr>
            <w:tcW w:w="7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D5F01" w:rsidRDefault="007D5F01" w:rsidP="00866A2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6"/>
                <w:szCs w:val="20"/>
              </w:rPr>
            </w:pPr>
            <w:r>
              <w:rPr>
                <w:rFonts w:ascii="Times New Roman" w:hAnsi="Times New Roman"/>
                <w:sz w:val="26"/>
                <w:szCs w:val="20"/>
              </w:rPr>
              <w:t xml:space="preserve">На момент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схвалення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кредиту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наявність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прозорої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структури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володіння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пропонується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консультаційна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допомога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>);</w:t>
            </w:r>
          </w:p>
          <w:p w:rsidR="007D5F01" w:rsidRDefault="007D5F01" w:rsidP="00866A2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6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Наявність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аудиту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фінансової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звітності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за системою МСФЗ,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або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готовність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проведення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аудиту (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пропонується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консультаційна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допомога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>);</w:t>
            </w:r>
          </w:p>
          <w:p w:rsidR="007D5F01" w:rsidRDefault="007D5F01" w:rsidP="00866A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Дотримання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принципів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екологічної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та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0"/>
              </w:rPr>
              <w:t>соц</w:t>
            </w:r>
            <w:proofErr w:type="gramEnd"/>
            <w:r>
              <w:rPr>
                <w:rFonts w:ascii="Times New Roman" w:hAnsi="Times New Roman"/>
                <w:sz w:val="26"/>
                <w:szCs w:val="20"/>
              </w:rPr>
              <w:t>іальної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відповідальності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>;</w:t>
            </w:r>
          </w:p>
        </w:tc>
      </w:tr>
      <w:tr w:rsidR="007D5F01" w:rsidTr="007D5F01"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D5F01" w:rsidRDefault="007D5F01">
            <w:pPr>
              <w:rPr>
                <w:b/>
                <w:sz w:val="26"/>
                <w:lang w:val="uk-UA"/>
              </w:rPr>
            </w:pPr>
            <w:r>
              <w:rPr>
                <w:b/>
                <w:sz w:val="26"/>
                <w:lang w:val="uk-UA"/>
              </w:rPr>
              <w:t>Переваги фінансування</w:t>
            </w:r>
          </w:p>
        </w:tc>
        <w:tc>
          <w:tcPr>
            <w:tcW w:w="7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D5F01" w:rsidRDefault="007D5F01" w:rsidP="00866A2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6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Канікули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виплату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0"/>
              </w:rPr>
              <w:t>тіла</w:t>
            </w:r>
            <w:proofErr w:type="spellEnd"/>
            <w:proofErr w:type="gramEnd"/>
            <w:r>
              <w:rPr>
                <w:rFonts w:ascii="Times New Roman" w:hAnsi="Times New Roman"/>
                <w:sz w:val="26"/>
                <w:szCs w:val="20"/>
              </w:rPr>
              <w:t xml:space="preserve"> кредиту (1-2 року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обговорюються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>);</w:t>
            </w:r>
          </w:p>
          <w:p w:rsidR="007D5F01" w:rsidRDefault="007D5F01" w:rsidP="00866A2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6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6"/>
                <w:szCs w:val="20"/>
              </w:rPr>
              <w:t>ідтримка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Банку по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залученню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необхідних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експертиз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успішної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реалізації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проекту (в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гранти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ЄС на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кваліфіковані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консультації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щодо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виходу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на ринки ЄС,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впровадження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передових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технологій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, аудит за МСФЗ,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технічний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аудит, юр. </w:t>
            </w:r>
            <w:r>
              <w:rPr>
                <w:rFonts w:ascii="Times New Roman" w:hAnsi="Times New Roman"/>
                <w:sz w:val="26"/>
                <w:szCs w:val="20"/>
                <w:lang w:val="uk-UA"/>
              </w:rPr>
              <w:t>п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ослуги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і т.д.);</w:t>
            </w:r>
          </w:p>
          <w:p w:rsidR="007D5F01" w:rsidRDefault="007D5F01" w:rsidP="00866A2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6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Можливість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збільшення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розміру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фінансування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Банку /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партнерських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міжнародних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фінансових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організацій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, у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міру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зростання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6"/>
                <w:szCs w:val="20"/>
              </w:rPr>
              <w:t>ідприємства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>;</w:t>
            </w:r>
          </w:p>
          <w:p w:rsidR="007D5F01" w:rsidRDefault="007D5F01" w:rsidP="00866A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6"/>
                <w:szCs w:val="20"/>
              </w:rPr>
              <w:t>ідтримка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державних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органів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завдяки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репутації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6"/>
                <w:szCs w:val="20"/>
              </w:rPr>
              <w:t>місії</w:t>
            </w:r>
            <w:proofErr w:type="spellEnd"/>
            <w:r>
              <w:rPr>
                <w:rFonts w:ascii="Times New Roman" w:hAnsi="Times New Roman"/>
                <w:sz w:val="26"/>
                <w:szCs w:val="20"/>
              </w:rPr>
              <w:t xml:space="preserve"> Банку.</w:t>
            </w:r>
          </w:p>
        </w:tc>
      </w:tr>
    </w:tbl>
    <w:p w:rsidR="007D5F01" w:rsidRDefault="007D5F01" w:rsidP="007D5F01">
      <w:pPr>
        <w:rPr>
          <w:sz w:val="26"/>
        </w:rPr>
      </w:pPr>
    </w:p>
    <w:p w:rsidR="007D5F01" w:rsidRDefault="007D5F01" w:rsidP="007D5F01">
      <w:pPr>
        <w:rPr>
          <w:sz w:val="26"/>
          <w:szCs w:val="28"/>
          <w:lang w:val="uk-UA"/>
        </w:rPr>
      </w:pPr>
    </w:p>
    <w:p w:rsidR="002F48FA" w:rsidRPr="007D5F01" w:rsidRDefault="002F48FA">
      <w:pPr>
        <w:rPr>
          <w:lang w:val="uk-UA"/>
        </w:rPr>
      </w:pPr>
      <w:bookmarkStart w:id="0" w:name="_GoBack"/>
      <w:bookmarkEnd w:id="0"/>
    </w:p>
    <w:sectPr w:rsidR="002F48FA" w:rsidRPr="007D5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47F79"/>
    <w:multiLevelType w:val="hybridMultilevel"/>
    <w:tmpl w:val="56707CBA"/>
    <w:lvl w:ilvl="0" w:tplc="18087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F01"/>
    <w:rsid w:val="002F48FA"/>
    <w:rsid w:val="007D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F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F0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F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F0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2580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2019-02-21T13:00:00Z</dcterms:created>
  <dcterms:modified xsi:type="dcterms:W3CDTF">2019-02-21T13:00:00Z</dcterms:modified>
</cp:coreProperties>
</file>