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25E" w:rsidRDefault="001B0455" w:rsidP="0088525E">
      <w:pPr>
        <w:tabs>
          <w:tab w:val="left" w:pos="567"/>
        </w:tabs>
        <w:spacing w:before="14" w:after="20"/>
        <w:ind w:left="1701" w:right="567"/>
      </w:pPr>
      <w:r w:rsidRPr="004E60CB">
        <w:rPr>
          <w:lang w:val="ru-RU"/>
        </w:rPr>
        <w:t xml:space="preserve">                                          </w:t>
      </w:r>
      <w:r w:rsidR="0088525E">
        <w:rPr>
          <w:noProof/>
          <w:lang w:eastAsia="uk-UA"/>
        </w:rPr>
        <w:drawing>
          <wp:inline distT="0" distB="0" distL="0" distR="0">
            <wp:extent cx="514350" cy="7239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25E" w:rsidRPr="00A4090A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eastAsia="Times New Roman"/>
          <w:b/>
          <w:bCs/>
          <w:sz w:val="28"/>
          <w:szCs w:val="28"/>
          <w:lang w:val="ru-RU" w:eastAsia="hi-IN" w:bidi="hi-IN"/>
        </w:rPr>
      </w:pPr>
      <w:r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ОВАДНІВСЬКА СІЛЬСЬКА РАДА</w:t>
      </w:r>
    </w:p>
    <w:p w:rsidR="0088525E" w:rsidRPr="00A4090A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rStyle w:val="WW-Absatz-Standardschriftart111111111111111111"/>
          <w:rFonts w:eastAsia="Times New Roman"/>
          <w:b/>
          <w:bCs/>
          <w:sz w:val="28"/>
          <w:szCs w:val="28"/>
          <w:lang w:val="ru-RU" w:eastAsia="hi-IN" w:bidi="hi-IN"/>
        </w:rPr>
      </w:pPr>
      <w:r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ВОЛОДИМИР-ВОЛИНСЬКОГО РАЙОНУ ВОЛИНСЬКОЇ ОБЛАСТІ</w:t>
      </w:r>
    </w:p>
    <w:p w:rsidR="0088525E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</w:pPr>
      <w:proofErr w:type="spellStart"/>
      <w:r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сьомогоскликання</w:t>
      </w:r>
      <w:proofErr w:type="spellEnd"/>
    </w:p>
    <w:p w:rsidR="0088525E" w:rsidRPr="00A4090A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eastAsia="Times New Roman"/>
          <w:b/>
          <w:bCs/>
          <w:sz w:val="28"/>
          <w:szCs w:val="28"/>
          <w:lang w:val="ru-RU" w:eastAsia="hi-IN" w:bidi="hi-IN"/>
        </w:rPr>
      </w:pPr>
    </w:p>
    <w:p w:rsidR="0088525E" w:rsidRPr="00A4090A" w:rsidRDefault="001B0455" w:rsidP="0088525E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rStyle w:val="WW-Absatz-Standardschriftart111111111111111111"/>
          <w:rFonts w:eastAsia="Times New Roman"/>
          <w:b/>
          <w:bCs/>
          <w:sz w:val="28"/>
          <w:szCs w:val="28"/>
          <w:lang w:val="ru-RU" w:eastAsia="hi-IN" w:bidi="hi-IN"/>
        </w:rPr>
      </w:pPr>
      <w:r w:rsidRPr="00602313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 xml:space="preserve">                                                        </w:t>
      </w:r>
      <w:r w:rsidR="0088525E"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 xml:space="preserve"> РІШЕННЯ</w:t>
      </w:r>
      <w:r w:rsidR="0088525E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 xml:space="preserve">                            ПРОЕКТ</w:t>
      </w:r>
    </w:p>
    <w:p w:rsidR="0088525E" w:rsidRPr="00A33E38" w:rsidRDefault="0088525E" w:rsidP="0088525E">
      <w:pPr>
        <w:tabs>
          <w:tab w:val="left" w:pos="0"/>
          <w:tab w:val="center" w:pos="4739"/>
          <w:tab w:val="left" w:pos="8040"/>
        </w:tabs>
        <w:overflowPunct w:val="0"/>
        <w:autoSpaceDE w:val="0"/>
        <w:spacing w:line="100" w:lineRule="atLeast"/>
        <w:ind w:right="160"/>
        <w:rPr>
          <w:rStyle w:val="WW-Absatz-Standardschriftart111111111111111111"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b/>
          <w:bCs/>
          <w:lang w:eastAsia="hi-IN" w:bidi="hi-IN"/>
        </w:rPr>
        <w:tab/>
      </w:r>
      <w:r>
        <w:rPr>
          <w:rStyle w:val="WW-Absatz-Standardschriftart111111111111111111"/>
          <w:b/>
          <w:bCs/>
          <w:lang w:eastAsia="hi-IN" w:bidi="hi-IN"/>
        </w:rPr>
        <w:tab/>
      </w:r>
    </w:p>
    <w:p w:rsidR="0088525E" w:rsidRDefault="004E60CB" w:rsidP="0088525E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sz w:val="28"/>
          <w:szCs w:val="28"/>
        </w:rPr>
      </w:pPr>
      <w:r>
        <w:rPr>
          <w:bCs/>
          <w:sz w:val="28"/>
          <w:szCs w:val="28"/>
          <w:lang w:val="ru-RU" w:eastAsia="hi-IN" w:bidi="hi-IN"/>
        </w:rPr>
        <w:t>__</w:t>
      </w:r>
      <w:proofErr w:type="gramStart"/>
      <w:r>
        <w:rPr>
          <w:bCs/>
          <w:sz w:val="28"/>
          <w:szCs w:val="28"/>
          <w:lang w:val="ru-RU" w:eastAsia="hi-IN" w:bidi="hi-IN"/>
        </w:rPr>
        <w:t>_</w:t>
      </w:r>
      <w:r w:rsidR="0088525E">
        <w:rPr>
          <w:bCs/>
          <w:sz w:val="28"/>
          <w:szCs w:val="28"/>
          <w:lang w:val="ru-RU" w:eastAsia="hi-IN" w:bidi="hi-IN"/>
        </w:rPr>
        <w:t>.</w:t>
      </w:r>
      <w:r>
        <w:rPr>
          <w:bCs/>
          <w:sz w:val="28"/>
          <w:szCs w:val="28"/>
          <w:lang w:val="ru-RU" w:eastAsia="hi-IN" w:bidi="hi-IN"/>
        </w:rPr>
        <w:t>_</w:t>
      </w:r>
      <w:proofErr w:type="gramEnd"/>
      <w:r>
        <w:rPr>
          <w:bCs/>
          <w:sz w:val="28"/>
          <w:szCs w:val="28"/>
          <w:lang w:val="ru-RU" w:eastAsia="hi-IN" w:bidi="hi-IN"/>
        </w:rPr>
        <w:t>_</w:t>
      </w:r>
      <w:r w:rsidR="0088525E">
        <w:rPr>
          <w:bCs/>
          <w:sz w:val="28"/>
          <w:szCs w:val="28"/>
          <w:lang w:val="ru-RU" w:eastAsia="hi-IN" w:bidi="hi-IN"/>
        </w:rPr>
        <w:t>.</w:t>
      </w:r>
      <w:r w:rsidR="0088525E">
        <w:rPr>
          <w:bCs/>
          <w:sz w:val="28"/>
          <w:szCs w:val="28"/>
          <w:lang w:eastAsia="hi-IN" w:bidi="hi-IN"/>
        </w:rPr>
        <w:t>2019</w:t>
      </w:r>
      <w:r w:rsidR="0088525E">
        <w:rPr>
          <w:sz w:val="28"/>
          <w:szCs w:val="28"/>
        </w:rPr>
        <w:t xml:space="preserve">                                           с. </w:t>
      </w:r>
      <w:proofErr w:type="spellStart"/>
      <w:r w:rsidR="0088525E">
        <w:rPr>
          <w:sz w:val="28"/>
          <w:szCs w:val="28"/>
        </w:rPr>
        <w:t>Овадне</w:t>
      </w:r>
      <w:proofErr w:type="spellEnd"/>
      <w:r w:rsidR="0088525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№ ____</w:t>
      </w:r>
    </w:p>
    <w:p w:rsidR="0088525E" w:rsidRPr="0088525E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right="160"/>
      </w:pPr>
      <w:r w:rsidRPr="0088525E">
        <w:rPr>
          <w:color w:val="39474F"/>
          <w:sz w:val="28"/>
          <w:szCs w:val="28"/>
        </w:rPr>
        <w:t>                                                                                                      </w:t>
      </w:r>
    </w:p>
    <w:p w:rsidR="0088525E" w:rsidRDefault="0088525E" w:rsidP="0088525E">
      <w:pPr>
        <w:pStyle w:val="a3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Про бюджет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</w:p>
    <w:p w:rsidR="0088525E" w:rsidRDefault="0088525E" w:rsidP="0088525E">
      <w:pPr>
        <w:pStyle w:val="a3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bookmarkStart w:id="0" w:name="_GoBack"/>
      <w:bookmarkEnd w:id="0"/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</w:p>
    <w:p w:rsidR="0088525E" w:rsidRDefault="0088525E" w:rsidP="0088525E">
      <w:pPr>
        <w:pStyle w:val="a3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 </w:t>
      </w:r>
    </w:p>
    <w:p w:rsidR="0088525E" w:rsidRPr="0088525E" w:rsidRDefault="0088525E" w:rsidP="0088525E">
      <w:pPr>
        <w:pStyle w:val="a3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</w:p>
    <w:p w:rsid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Керуючись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статтею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26 Закону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"Про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місцеве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самоврядування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" та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відповідності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77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="001B0455" w:rsidRPr="001B045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сільська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рада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b/>
          <w:color w:val="39474F"/>
          <w:sz w:val="28"/>
          <w:szCs w:val="28"/>
        </w:rPr>
        <w:t>ВИРІШИЛА: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доходи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38038900 грн., у тому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числі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доходи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>ї</w:t>
      </w:r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37873300</w:t>
      </w:r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грн.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доходи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165600 грн.,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№ 1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38038900 грн., в тому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числі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proofErr w:type="gramEnd"/>
      <w:r w:rsidR="001B0455" w:rsidRPr="001B045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37433300  грн.,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r w:rsidR="001B0455" w:rsidRPr="001B045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ї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605600 грн.,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№ 3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профіцит</w:t>
      </w:r>
      <w:proofErr w:type="spellEnd"/>
      <w:r w:rsidR="001B0455" w:rsidRPr="001B045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 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440000 грн.,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із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дефіцит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440000 грн.,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із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оборотний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залишок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розмірі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100000 грн.,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становить 0,27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відсотка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фонду  бюджету</w:t>
      </w:r>
      <w:proofErr w:type="gram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пунктом;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резервний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розмірі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100000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грн.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становить 0,27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відсотка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пунктом.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2.Затвердити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призначення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головним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розпорядникам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розрізі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lastRenderedPageBreak/>
        <w:t>відповідальних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виконавців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бюджетними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 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3.Затвердити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міжбюджетні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4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4.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розподіл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заходів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будівництво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реконструкцію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і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реставрацію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об'єктів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виробничої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,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комунікаційної</w:t>
      </w:r>
      <w:proofErr w:type="spellEnd"/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інфраструктури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об'єктами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5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5.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Затвердити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розподіл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витрат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реалізацію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2322619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грн.згідно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6.Установити,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загальному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фонді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доходів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належать доходи,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статтею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64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статями 97,101, 103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>2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,103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>4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 ,103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 xml:space="preserve">6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(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крім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субвенцій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статтею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69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> 1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частиною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першою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71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).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7.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щоджерелами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формування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на 2020рік: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1)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доходів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є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надходження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статтею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69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>1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2)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є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надходження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пунктом 10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71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8.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році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отримані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відповідними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пунктами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69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 xml:space="preserve">1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спрямовуються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реалізацію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заходів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70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9.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55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захищеними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на: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оплату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працівників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нарахування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заробітну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плату;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придбання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медикаментів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і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перев'язувальних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матеріалів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продуктами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харчування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оплата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комунальних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послуг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і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енергоносіїв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бюджетам;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оплата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енергосервісу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10.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статей 43 та 73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надати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право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сільському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голові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отримувати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 порядку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визначеному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Кабінетом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Міністрів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позики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покриття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тимчасових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касових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розривів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пов’язаних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із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забезпеченням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захищених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фонду, в межах поточного бюджетного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рахунок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єдиного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казначейського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рахунку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договірних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умовах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без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нарахування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відсотків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користування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lastRenderedPageBreak/>
        <w:t>цими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коштами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обов'язковим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їх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поверненням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 до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кінця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поточного бюджетного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11. В межах поточного бюджетного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конкурсних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засадах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розміщення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тимчасово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вільних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депозитах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подальшим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поверненням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таких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кінця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поточного бюджетного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8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16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12.Відділу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соціально-економічного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інвестицій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ради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першочерговому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порядку потребу в коштах на: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1) оплату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працівників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встановлених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законодавством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умов оплати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розміру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мінімальної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заробітної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 плати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2)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проведення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розрахунків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електричну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теплову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енергію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водопостачання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водовідведення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природний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газ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послуги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зв’язку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які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споживаються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бюджетними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укладання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договорів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кожним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видом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енергоносіїв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 межах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встановлених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головним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розпорядником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обґрунтованих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лімітів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споживання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3)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управління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коштами у межах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встановлених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їм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повноважень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оцінки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ефективності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забезпечуючи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ефективне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proofErr w:type="gramStart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результативне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 і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цільове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використання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організацію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координацію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роботи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розпорядників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нижчого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рівня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одержувачів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бюджетному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процесі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4)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паспортів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программ</w:t>
      </w:r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протягом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45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днів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дня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набрання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чинності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5)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доступності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інформації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про бюджет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законодавства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саме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публічного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представлення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публікації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і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нформації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про бюджет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бюджетними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показниками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призначення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щодо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яких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вимог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за формою,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встановленими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Міністерством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до 15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березня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2020 року;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оприлюднення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паспортів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триденний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строк з дня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таких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документів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          6)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контролю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своєчасним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поверненням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повному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обсязі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 до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наданих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операціями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кредитування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бюджету, 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також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кредитів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(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позик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),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отриманих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громадою,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наданих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під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гарантії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        7)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здійснювати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відображення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змін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  до</w:t>
      </w:r>
      <w:proofErr w:type="gram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розпису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випадку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внесення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Міністерством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змін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доповнень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класифікації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назв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і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кодів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класифікації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доходів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кодів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Типової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класифікації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кредитування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13.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Надати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право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сільському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голові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приймати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підставі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звернень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керівників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міжсесійний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розпорядження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наступним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затвердженням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їх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сесіях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ради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lastRenderedPageBreak/>
        <w:t xml:space="preserve">13.1. Про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перерозподіл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між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напрямками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витрат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функціональною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економічною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ознаками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разі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додаткових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напрямів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в межах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обсягів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заходами і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розділами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Програми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економічного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і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соціального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Оваднівської</w:t>
      </w:r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ради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інших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радою, у межам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фінансового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ресурсу,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передбаченого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їх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виконання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фондами.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13.2. Про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урахування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складі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також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напряму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подальшого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використання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з державного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обласного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виділяються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додатково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сільській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раді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підставі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законодавчих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інших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нормативних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актів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13.3. Про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виключення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складу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засобів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державного,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обласного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районного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підставі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законодавчих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інших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нормативних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актів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14.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Капітальні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спрямовуються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соціально-економічний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розвиток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 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виконання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інвестиційних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(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проектів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),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будівництво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капітальний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ремонт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реконструкцію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об’єктів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соціально-культурної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сфери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і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житлово-комунального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господарства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будівництво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і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придбання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житла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окремим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категоріям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громадян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розвиток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дорожнього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господарства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комп’ютеризацію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інформатизацію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загальноосвітніх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навчальних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закладів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природоохоронні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заходи,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інші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заходи,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пов’язані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розширенням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відтворенням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15.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Затвердити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розподіл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які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здійснюються</w:t>
      </w:r>
      <w:proofErr w:type="spellEnd"/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01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січня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2020 року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89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з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об'єднаної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діяльності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урахуванням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вимог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Закону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"Про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добровільне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об'єднання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громад".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16.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набирає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чинності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 1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січня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2020 року.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17. Додатки1-6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є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його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невід'ємною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18. Дане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оприлюднити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десятиденний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строк з дня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його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прийняття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частини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четвертої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28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19. Контроль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виконанням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="0066176D">
        <w:rPr>
          <w:rFonts w:ascii="Times New Roman" w:eastAsia="Times New Roman" w:hAnsi="Times New Roman" w:cs="Times New Roman"/>
          <w:color w:val="39474F"/>
          <w:sz w:val="28"/>
          <w:szCs w:val="28"/>
        </w:rPr>
        <w:t>данного</w:t>
      </w:r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покласти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постійну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комісію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  з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питань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бюджету,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планування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   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соціально-економічного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регуляторної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політики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інвестицій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міжнародного співробітництва.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525E" w:rsidRPr="0088525E" w:rsidRDefault="0088525E" w:rsidP="008852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525E">
        <w:rPr>
          <w:rFonts w:ascii="Times New Roman" w:hAnsi="Times New Roman" w:cs="Times New Roman"/>
          <w:sz w:val="28"/>
          <w:szCs w:val="28"/>
        </w:rPr>
        <w:t xml:space="preserve">   Голова                                                   </w:t>
      </w:r>
      <w:r w:rsidR="001B045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8525E">
        <w:rPr>
          <w:rFonts w:ascii="Times New Roman" w:hAnsi="Times New Roman" w:cs="Times New Roman"/>
          <w:sz w:val="28"/>
          <w:szCs w:val="28"/>
        </w:rPr>
        <w:t xml:space="preserve">  Сергій  ПАНАСЕВИЧ</w:t>
      </w:r>
    </w:p>
    <w:p w:rsidR="008433C4" w:rsidRPr="0088525E" w:rsidRDefault="008433C4" w:rsidP="008852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433C4" w:rsidRPr="0088525E" w:rsidSect="00637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2017"/>
    <w:rsid w:val="001370C4"/>
    <w:rsid w:val="001B0455"/>
    <w:rsid w:val="004E60CB"/>
    <w:rsid w:val="00602313"/>
    <w:rsid w:val="00637092"/>
    <w:rsid w:val="0066176D"/>
    <w:rsid w:val="006A6B65"/>
    <w:rsid w:val="008433C4"/>
    <w:rsid w:val="0088525E"/>
    <w:rsid w:val="00B42017"/>
    <w:rsid w:val="00C44378"/>
    <w:rsid w:val="00DA3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B0752"/>
  <w15:docId w15:val="{B7489672-1A42-49FA-AC60-6E6E77AF3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25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525E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WW-Absatz-Standardschriftart111111111111111111">
    <w:name w:val="WW-Absatz-Standardschriftart111111111111111111"/>
    <w:uiPriority w:val="99"/>
    <w:rsid w:val="0088525E"/>
  </w:style>
  <w:style w:type="paragraph" w:styleId="a4">
    <w:name w:val="Balloon Text"/>
    <w:basedOn w:val="a"/>
    <w:link w:val="a5"/>
    <w:uiPriority w:val="99"/>
    <w:semiHidden/>
    <w:unhideWhenUsed/>
    <w:rsid w:val="001B0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0455"/>
    <w:rPr>
      <w:rFonts w:ascii="Tahoma" w:eastAsia="Andale Sans UI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8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5998</Words>
  <Characters>3419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Тарас Добринський</cp:lastModifiedBy>
  <cp:revision>6</cp:revision>
  <dcterms:created xsi:type="dcterms:W3CDTF">2019-11-29T09:42:00Z</dcterms:created>
  <dcterms:modified xsi:type="dcterms:W3CDTF">2019-11-29T12:42:00Z</dcterms:modified>
</cp:coreProperties>
</file>