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32 .1. Про затвердження акту комісії (за заявою Подвиг Ірини Петрівни, яка діє в інтересах гр. Носуліч Марії Сергіївни)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2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