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EB0" w:rsidRPr="007E3069" w:rsidRDefault="002A7EB0" w:rsidP="002A7EB0">
      <w:pPr>
        <w:jc w:val="both"/>
        <w:rPr>
          <w:rFonts w:eastAsia="Times New Roman" w:cs="Times New Roman"/>
          <w:b/>
          <w:bCs/>
          <w:sz w:val="24"/>
          <w:szCs w:val="24"/>
        </w:rPr>
      </w:pPr>
      <w:bookmarkStart w:id="0" w:name="_Hlk82102287"/>
      <w:r>
        <w:rPr>
          <w:rFonts w:eastAsia="Times New Roman" w:cs="Times New Roman"/>
          <w:sz w:val="24"/>
          <w:szCs w:val="24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96255793" r:id="rId6"/>
        </w:object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  <w:r w:rsidRPr="007E3069">
        <w:rPr>
          <w:rFonts w:eastAsia="Times New Roman" w:cs="Times New Roman"/>
          <w:b/>
          <w:bCs/>
          <w:sz w:val="24"/>
          <w:szCs w:val="24"/>
        </w:rPr>
        <w:tab/>
      </w:r>
    </w:p>
    <w:p w:rsidR="002A7EB0" w:rsidRPr="002D6C06" w:rsidRDefault="002A7EB0" w:rsidP="002A7EB0">
      <w:pPr>
        <w:jc w:val="both"/>
        <w:rPr>
          <w:rFonts w:eastAsia="Times New Roman" w:cs="Times New Roman"/>
          <w:b/>
          <w:bCs/>
          <w:i/>
          <w:sz w:val="24"/>
          <w:szCs w:val="24"/>
          <w:lang w:val="ru-RU"/>
        </w:rPr>
      </w:pPr>
      <w:r w:rsidRPr="007E3069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Pr="002D6C06">
        <w:rPr>
          <w:rFonts w:eastAsia="Times New Roman" w:cs="Times New Roman"/>
          <w:b/>
          <w:bCs/>
          <w:sz w:val="24"/>
          <w:szCs w:val="24"/>
          <w:lang w:val="ru-RU"/>
        </w:rPr>
        <w:t>У  К</w:t>
      </w:r>
      <w:proofErr w:type="gramEnd"/>
      <w:r w:rsidRPr="002D6C06">
        <w:rPr>
          <w:rFonts w:eastAsia="Times New Roman" w:cs="Times New Roman"/>
          <w:b/>
          <w:bCs/>
          <w:sz w:val="24"/>
          <w:szCs w:val="24"/>
          <w:lang w:val="ru-RU"/>
        </w:rPr>
        <w:t xml:space="preserve">  Р  А  Ї  Н  А</w:t>
      </w:r>
    </w:p>
    <w:p w:rsidR="002A7EB0" w:rsidRPr="002D6C06" w:rsidRDefault="002A7EB0" w:rsidP="002A7EB0">
      <w:pPr>
        <w:ind w:firstLine="540"/>
        <w:jc w:val="center"/>
        <w:rPr>
          <w:rFonts w:eastAsia="Times New Roman" w:cs="Times New Roman"/>
          <w:b/>
          <w:bCs/>
          <w:sz w:val="24"/>
          <w:szCs w:val="24"/>
          <w:lang w:val="x-none" w:eastAsia="ru-RU"/>
        </w:rPr>
      </w:pPr>
      <w:r w:rsidRPr="002D6C06">
        <w:rPr>
          <w:rFonts w:eastAsia="Times New Roman" w:cs="Times New Roman"/>
          <w:b/>
          <w:bCs/>
          <w:sz w:val="24"/>
          <w:szCs w:val="24"/>
          <w:lang w:val="x-none" w:eastAsia="ru-RU"/>
        </w:rPr>
        <w:t>РАЙГОРОДСЬКА СІЛЬСЬКА РАДА</w:t>
      </w:r>
    </w:p>
    <w:p w:rsidR="002A7EB0" w:rsidRPr="002D6C06" w:rsidRDefault="002A7EB0" w:rsidP="002A7EB0">
      <w:pPr>
        <w:jc w:val="center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2D6C06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</w:t>
      </w:r>
    </w:p>
    <w:p w:rsidR="002A7EB0" w:rsidRPr="002D6C06" w:rsidRDefault="002A7EB0" w:rsidP="002A7EB0">
      <w:pPr>
        <w:keepNext/>
        <w:keepLines/>
        <w:ind w:firstLine="709"/>
        <w:outlineLvl w:val="0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2D6C0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      </w:t>
      </w:r>
      <w:r w:rsidRPr="002D6C06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2D6C06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2D6C06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2D6C06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</w:r>
      <w:r w:rsidRPr="002D6C06">
        <w:rPr>
          <w:rFonts w:ascii="Cambria" w:eastAsia="Times New Roman" w:hAnsi="Cambria" w:cs="Times New Roman"/>
          <w:b/>
          <w:sz w:val="24"/>
          <w:szCs w:val="24"/>
          <w:lang w:eastAsia="ru-RU"/>
        </w:rPr>
        <w:tab/>
        <w:t xml:space="preserve"> </w:t>
      </w:r>
      <w:r w:rsidRPr="002D6C06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2D6C06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>Н</w:t>
      </w:r>
      <w:proofErr w:type="spellEnd"/>
      <w:r w:rsidRPr="002D6C06">
        <w:rPr>
          <w:rFonts w:ascii="Cambria" w:eastAsia="Times New Roman" w:hAnsi="Cambria" w:cs="Times New Roman"/>
          <w:b/>
          <w:sz w:val="24"/>
          <w:szCs w:val="24"/>
          <w:lang w:val="ru-RU" w:eastAsia="ru-RU"/>
        </w:rPr>
        <w:t xml:space="preserve"> Я</w:t>
      </w:r>
      <w:r w:rsidRPr="002D6C0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 </w:t>
      </w:r>
    </w:p>
    <w:p w:rsidR="002A7EB0" w:rsidRDefault="002A7EB0" w:rsidP="002A7EB0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A7EB0" w:rsidRPr="002D6C06" w:rsidRDefault="002A7EB0" w:rsidP="002A7EB0">
      <w:pPr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21.09.</w:t>
      </w:r>
      <w:r w:rsidRPr="002D6C06">
        <w:rPr>
          <w:rFonts w:eastAsia="Times New Roman" w:cs="Times New Roman"/>
          <w:sz w:val="24"/>
          <w:szCs w:val="24"/>
          <w:lang w:eastAsia="ru-RU"/>
        </w:rPr>
        <w:t xml:space="preserve">2021 року                         № </w:t>
      </w:r>
      <w:r>
        <w:rPr>
          <w:rFonts w:eastAsia="Times New Roman" w:cs="Times New Roman"/>
          <w:sz w:val="24"/>
          <w:szCs w:val="24"/>
          <w:lang w:eastAsia="ru-RU"/>
        </w:rPr>
        <w:t>1108</w:t>
      </w:r>
      <w:r w:rsidRPr="002D6C06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</w:t>
      </w:r>
      <w:r>
        <w:rPr>
          <w:rFonts w:eastAsia="Times New Roman" w:cs="Times New Roman"/>
          <w:sz w:val="24"/>
          <w:szCs w:val="24"/>
          <w:lang w:eastAsia="ru-RU"/>
        </w:rPr>
        <w:t>19</w:t>
      </w:r>
      <w:r w:rsidRPr="002D6C0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D6C06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Pr="002D6C06">
        <w:rPr>
          <w:rFonts w:eastAsia="Times New Roman" w:cs="Times New Roman"/>
          <w:sz w:val="24"/>
          <w:szCs w:val="24"/>
          <w:lang w:val="en-US" w:eastAsia="ru-RU"/>
        </w:rPr>
        <w:t>c</w:t>
      </w:r>
      <w:proofErr w:type="spellStart"/>
      <w:r w:rsidRPr="002D6C06">
        <w:rPr>
          <w:rFonts w:eastAsia="Times New Roman" w:cs="Times New Roman"/>
          <w:sz w:val="24"/>
          <w:szCs w:val="24"/>
          <w:lang w:eastAsia="ru-RU"/>
        </w:rPr>
        <w:t>есія</w:t>
      </w:r>
      <w:proofErr w:type="spellEnd"/>
      <w:r w:rsidRPr="002D6C06">
        <w:rPr>
          <w:rFonts w:eastAsia="Times New Roman" w:cs="Times New Roman"/>
          <w:sz w:val="24"/>
          <w:szCs w:val="24"/>
          <w:lang w:eastAsia="ru-RU"/>
        </w:rPr>
        <w:t xml:space="preserve"> 8 скликання  </w:t>
      </w:r>
    </w:p>
    <w:p w:rsidR="002A7EB0" w:rsidRPr="002D6C06" w:rsidRDefault="002A7EB0" w:rsidP="002A7EB0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2D6C06">
        <w:rPr>
          <w:rFonts w:eastAsia="Times New Roman" w:cs="Times New Roman"/>
          <w:sz w:val="24"/>
          <w:szCs w:val="24"/>
          <w:lang w:eastAsia="ru-RU"/>
        </w:rPr>
        <w:t>село Райгород</w:t>
      </w:r>
    </w:p>
    <w:p w:rsidR="002A7EB0" w:rsidRPr="002D6C06" w:rsidRDefault="002A7EB0" w:rsidP="002A7EB0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A7EB0" w:rsidRPr="002D6C06" w:rsidRDefault="002A7EB0" w:rsidP="002A7EB0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2D6C06">
        <w:rPr>
          <w:rFonts w:eastAsia="Times New Roman" w:cs="Times New Roman"/>
          <w:sz w:val="24"/>
          <w:szCs w:val="24"/>
          <w:lang w:eastAsia="ru-RU"/>
        </w:rPr>
        <w:t>Про Прогноз бюджету</w:t>
      </w:r>
    </w:p>
    <w:p w:rsidR="002A7EB0" w:rsidRPr="002D6C06" w:rsidRDefault="002A7EB0" w:rsidP="002A7EB0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2D6C06">
        <w:rPr>
          <w:rFonts w:eastAsia="Times New Roman" w:cs="Times New Roman"/>
          <w:sz w:val="24"/>
          <w:szCs w:val="24"/>
          <w:lang w:eastAsia="ru-RU"/>
        </w:rPr>
        <w:t xml:space="preserve">Райгородської територіальної </w:t>
      </w:r>
    </w:p>
    <w:p w:rsidR="002A7EB0" w:rsidRPr="002D6C06" w:rsidRDefault="002A7EB0" w:rsidP="002A7EB0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2D6C06">
        <w:rPr>
          <w:rFonts w:eastAsia="Times New Roman" w:cs="Times New Roman"/>
          <w:sz w:val="24"/>
          <w:szCs w:val="24"/>
          <w:lang w:eastAsia="ru-RU"/>
        </w:rPr>
        <w:t>громади на 2022 – 2024 роки</w:t>
      </w:r>
    </w:p>
    <w:p w:rsidR="002A7EB0" w:rsidRPr="002D6C06" w:rsidRDefault="002A7EB0" w:rsidP="002A7EB0">
      <w:pPr>
        <w:tabs>
          <w:tab w:val="left" w:leader="underscore" w:pos="2462"/>
        </w:tabs>
        <w:spacing w:before="211"/>
        <w:jc w:val="both"/>
        <w:rPr>
          <w:rFonts w:eastAsia="Times New Roman" w:cs="Times New Roman"/>
          <w:sz w:val="24"/>
          <w:szCs w:val="24"/>
          <w:lang w:eastAsia="ru-RU"/>
        </w:rPr>
      </w:pPr>
      <w:r w:rsidRPr="002D6C06">
        <w:rPr>
          <w:rFonts w:eastAsia="Times New Roman" w:cs="Times New Roman"/>
          <w:sz w:val="24"/>
          <w:szCs w:val="24"/>
          <w:lang w:eastAsia="ru-RU"/>
        </w:rPr>
        <w:t xml:space="preserve">     Відповідно до частини шостої статті 75¹ Бюджетного кодексу України, пункту 23 частини першої  статті 26 Закону України  «Про місцеве самоврядування в Україні»  сесія сільської ради:</w:t>
      </w:r>
    </w:p>
    <w:p w:rsidR="002A7EB0" w:rsidRDefault="002A7EB0" w:rsidP="002A7EB0">
      <w:pPr>
        <w:tabs>
          <w:tab w:val="left" w:leader="underscore" w:pos="2462"/>
        </w:tabs>
        <w:spacing w:before="21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2D6C06">
        <w:rPr>
          <w:rFonts w:eastAsia="Times New Roman" w:cs="Times New Roman"/>
          <w:sz w:val="24"/>
          <w:szCs w:val="24"/>
          <w:lang w:eastAsia="ru-RU"/>
        </w:rPr>
        <w:t>ВИРІШИЛА:</w:t>
      </w:r>
    </w:p>
    <w:p w:rsidR="002A7EB0" w:rsidRPr="002D6C06" w:rsidRDefault="002A7EB0" w:rsidP="002A7EB0">
      <w:pPr>
        <w:tabs>
          <w:tab w:val="left" w:leader="underscore" w:pos="2462"/>
        </w:tabs>
        <w:spacing w:before="211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2A7EB0" w:rsidRPr="002D6C06" w:rsidRDefault="002A7EB0" w:rsidP="002A7EB0">
      <w:pPr>
        <w:numPr>
          <w:ilvl w:val="0"/>
          <w:numId w:val="1"/>
        </w:numPr>
        <w:jc w:val="both"/>
        <w:rPr>
          <w:rFonts w:eastAsia="Calibri" w:cs="Times New Roman"/>
          <w:sz w:val="24"/>
          <w:szCs w:val="24"/>
        </w:rPr>
      </w:pPr>
      <w:r w:rsidRPr="002D6C06">
        <w:rPr>
          <w:rFonts w:eastAsia="Calibri" w:cs="Times New Roman"/>
          <w:sz w:val="24"/>
          <w:szCs w:val="24"/>
        </w:rPr>
        <w:t>Взяти до відома Прогноз бюджету Райгородської сільської територіальної громади на 2022 -</w:t>
      </w:r>
      <w:r>
        <w:rPr>
          <w:rFonts w:eastAsia="Calibri" w:cs="Times New Roman"/>
          <w:sz w:val="24"/>
          <w:szCs w:val="24"/>
        </w:rPr>
        <w:t xml:space="preserve"> </w:t>
      </w:r>
      <w:r w:rsidRPr="002D6C06">
        <w:rPr>
          <w:rFonts w:eastAsia="Calibri" w:cs="Times New Roman"/>
          <w:sz w:val="24"/>
          <w:szCs w:val="24"/>
        </w:rPr>
        <w:t xml:space="preserve">2024 роки, схвалений рішенням виконавчого комітету Райгородської сільської ради від  </w:t>
      </w:r>
      <w:r>
        <w:rPr>
          <w:rFonts w:eastAsia="Calibri" w:cs="Times New Roman"/>
          <w:sz w:val="24"/>
          <w:szCs w:val="24"/>
        </w:rPr>
        <w:t>30.08.2021</w:t>
      </w:r>
      <w:r w:rsidRPr="002D6C06">
        <w:rPr>
          <w:rFonts w:eastAsia="Calibri" w:cs="Times New Roman"/>
          <w:sz w:val="24"/>
          <w:szCs w:val="24"/>
        </w:rPr>
        <w:t xml:space="preserve"> серпня 2021 року № </w:t>
      </w:r>
      <w:r>
        <w:rPr>
          <w:rFonts w:eastAsia="Calibri" w:cs="Times New Roman"/>
          <w:sz w:val="24"/>
          <w:szCs w:val="24"/>
        </w:rPr>
        <w:t>90</w:t>
      </w:r>
      <w:r w:rsidRPr="002D6C06">
        <w:rPr>
          <w:rFonts w:eastAsia="Calibri" w:cs="Times New Roman"/>
          <w:sz w:val="24"/>
          <w:szCs w:val="24"/>
        </w:rPr>
        <w:t xml:space="preserve"> «Про схвалення Прогнозу бюджету Райгородської сільської територіальної громади на 2022 – 2024 роки» (додається).</w:t>
      </w:r>
    </w:p>
    <w:p w:rsidR="002A7EB0" w:rsidRPr="002D6C06" w:rsidRDefault="002A7EB0" w:rsidP="002A7EB0">
      <w:pPr>
        <w:numPr>
          <w:ilvl w:val="0"/>
          <w:numId w:val="1"/>
        </w:numPr>
        <w:jc w:val="both"/>
        <w:rPr>
          <w:rFonts w:eastAsia="Calibri" w:cs="Times New Roman"/>
          <w:sz w:val="24"/>
          <w:szCs w:val="24"/>
        </w:rPr>
      </w:pPr>
      <w:r w:rsidRPr="002D6C06">
        <w:rPr>
          <w:rFonts w:eastAsia="Calibri" w:cs="Times New Roman"/>
          <w:sz w:val="24"/>
          <w:szCs w:val="24"/>
        </w:rPr>
        <w:t>Контроль за виконанням рішення покласти на постійну комісію сільської ради  з питань планування, фінансів та соціально-економічного розвитку, інвестицій та міжнародного співробітництва.</w:t>
      </w:r>
    </w:p>
    <w:p w:rsidR="002A7EB0" w:rsidRPr="002D6C06" w:rsidRDefault="002A7EB0" w:rsidP="002A7EB0">
      <w:pPr>
        <w:jc w:val="both"/>
        <w:rPr>
          <w:rFonts w:eastAsia="Calibri" w:cs="Times New Roman"/>
          <w:sz w:val="24"/>
          <w:szCs w:val="24"/>
        </w:rPr>
      </w:pPr>
    </w:p>
    <w:p w:rsidR="002A7EB0" w:rsidRPr="002D6C06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A7EB0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ab/>
        <w:t xml:space="preserve"> </w:t>
      </w:r>
      <w:r w:rsidRPr="002D6C06">
        <w:rPr>
          <w:rFonts w:eastAsia="Times New Roman" w:cs="Times New Roman"/>
          <w:color w:val="000000"/>
          <w:sz w:val="24"/>
          <w:szCs w:val="24"/>
          <w:lang w:eastAsia="ru-RU"/>
        </w:rPr>
        <w:t>Сільський голова                                           Віктор МИХАЙЛЕНКО</w:t>
      </w:r>
    </w:p>
    <w:p w:rsidR="002A7EB0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A7EB0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A7EB0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A7EB0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A7EB0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bookmarkEnd w:id="0"/>
    <w:p w:rsidR="002A7EB0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A7EB0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A7EB0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A7EB0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A7EB0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A7EB0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A7EB0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A7EB0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A7EB0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</w:t>
      </w:r>
    </w:p>
    <w:p w:rsidR="002A7EB0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szCs w:val="24"/>
          <w:lang w:eastAsia="ru-RU"/>
        </w:rPr>
      </w:pPr>
    </w:p>
    <w:p w:rsidR="002A7EB0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szCs w:val="24"/>
          <w:lang w:eastAsia="ru-RU"/>
        </w:rPr>
      </w:pPr>
    </w:p>
    <w:p w:rsidR="002A7EB0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szCs w:val="24"/>
          <w:lang w:eastAsia="ru-RU"/>
        </w:rPr>
      </w:pPr>
    </w:p>
    <w:p w:rsidR="002A7EB0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szCs w:val="24"/>
          <w:lang w:eastAsia="ru-RU"/>
        </w:rPr>
      </w:pPr>
    </w:p>
    <w:p w:rsidR="002A7EB0" w:rsidRPr="002D6C06" w:rsidRDefault="002A7EB0" w:rsidP="002A7EB0">
      <w:pPr>
        <w:tabs>
          <w:tab w:val="num" w:pos="1080"/>
          <w:tab w:val="left" w:leader="underscore" w:pos="2462"/>
        </w:tabs>
        <w:jc w:val="both"/>
        <w:rPr>
          <w:rFonts w:eastAsia="Times New Roman" w:cs="Times New Roman"/>
          <w:szCs w:val="24"/>
          <w:lang w:eastAsia="ru-RU"/>
        </w:rPr>
      </w:pPr>
    </w:p>
    <w:p w:rsidR="002A7EB0" w:rsidRPr="005E635B" w:rsidRDefault="002A7EB0" w:rsidP="002A7EB0">
      <w:pPr>
        <w:shd w:val="clear" w:color="auto" w:fill="FFFFFF"/>
        <w:ind w:firstLine="709"/>
        <w:jc w:val="both"/>
        <w:rPr>
          <w:rFonts w:eastAsia="Calibri" w:cs="Times New Roman"/>
          <w:sz w:val="24"/>
          <w:szCs w:val="24"/>
          <w:shd w:val="clear" w:color="auto" w:fill="FFFFFF"/>
        </w:rPr>
      </w:pPr>
    </w:p>
    <w:p w:rsidR="002A7EB0" w:rsidRPr="006D13C1" w:rsidRDefault="002A7EB0" w:rsidP="002A7EB0">
      <w:pPr>
        <w:shd w:val="clear" w:color="auto" w:fill="FFFFFF"/>
        <w:jc w:val="center"/>
        <w:outlineLvl w:val="0"/>
        <w:rPr>
          <w:rFonts w:eastAsia="Times New Roman" w:cs="Times New Roman"/>
          <w:b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lastRenderedPageBreak/>
        <w:t>Прогноз</w:t>
      </w:r>
    </w:p>
    <w:p w:rsidR="002A7EB0" w:rsidRPr="006D13C1" w:rsidRDefault="002A7EB0" w:rsidP="002A7EB0">
      <w:pPr>
        <w:shd w:val="clear" w:color="auto" w:fill="FFFFFF"/>
        <w:jc w:val="center"/>
        <w:rPr>
          <w:rFonts w:eastAsia="Times New Roman" w:cs="Times New Roman"/>
          <w:b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b/>
          <w:sz w:val="24"/>
          <w:szCs w:val="24"/>
          <w:lang w:eastAsia="ru-RU"/>
        </w:rPr>
        <w:t>бюджету Райгородської сільської</w:t>
      </w:r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територіальної</w:t>
      </w:r>
      <w:proofErr w:type="spellEnd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громади</w:t>
      </w:r>
      <w:proofErr w:type="spellEnd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 на 2022-2024 роки</w:t>
      </w:r>
    </w:p>
    <w:p w:rsidR="002A7EB0" w:rsidRPr="006D13C1" w:rsidRDefault="002A7EB0" w:rsidP="002A7EB0">
      <w:pPr>
        <w:shd w:val="clear" w:color="auto" w:fill="FFFFFF"/>
        <w:jc w:val="center"/>
        <w:rPr>
          <w:rFonts w:eastAsia="Times New Roman" w:cs="Times New Roman"/>
          <w:b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b/>
          <w:sz w:val="24"/>
          <w:szCs w:val="24"/>
          <w:u w:val="single"/>
          <w:lang w:val="ru-RU" w:eastAsia="ru-RU"/>
        </w:rPr>
        <w:t>(</w:t>
      </w:r>
      <w:r w:rsidRPr="006D13C1">
        <w:rPr>
          <w:rFonts w:eastAsia="Times New Roman" w:cs="Times New Roman"/>
          <w:b/>
          <w:sz w:val="24"/>
          <w:szCs w:val="24"/>
          <w:u w:val="single"/>
          <w:lang w:eastAsia="ru-RU"/>
        </w:rPr>
        <w:t>02519000000</w:t>
      </w:r>
      <w:r w:rsidRPr="006D13C1">
        <w:rPr>
          <w:rFonts w:eastAsia="Times New Roman" w:cs="Times New Roman"/>
          <w:b/>
          <w:sz w:val="24"/>
          <w:szCs w:val="24"/>
          <w:u w:val="single"/>
          <w:lang w:val="ru-RU" w:eastAsia="ru-RU"/>
        </w:rPr>
        <w:t>)</w:t>
      </w:r>
    </w:p>
    <w:p w:rsidR="002A7EB0" w:rsidRPr="006D13C1" w:rsidRDefault="002A7EB0" w:rsidP="002A7EB0">
      <w:pPr>
        <w:shd w:val="clear" w:color="auto" w:fill="FFFFFF"/>
        <w:jc w:val="center"/>
        <w:rPr>
          <w:rFonts w:eastAsia="Times New Roman" w:cs="Times New Roman"/>
          <w:b/>
          <w:sz w:val="24"/>
          <w:szCs w:val="24"/>
          <w:lang w:val="ru-RU" w:eastAsia="ru-RU"/>
        </w:rPr>
      </w:pPr>
    </w:p>
    <w:p w:rsidR="002A7EB0" w:rsidRPr="006D13C1" w:rsidRDefault="002A7EB0" w:rsidP="002A7EB0">
      <w:pPr>
        <w:shd w:val="clear" w:color="auto" w:fill="FFFFFF"/>
        <w:jc w:val="center"/>
        <w:outlineLvl w:val="0"/>
        <w:rPr>
          <w:rFonts w:eastAsia="Times New Roman" w:cs="Times New Roman"/>
          <w:b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I. </w:t>
      </w:r>
      <w:proofErr w:type="spellStart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Загальна</w:t>
      </w:r>
      <w:proofErr w:type="spellEnd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частина</w:t>
      </w:r>
      <w:proofErr w:type="spellEnd"/>
    </w:p>
    <w:p w:rsidR="002A7EB0" w:rsidRPr="006D13C1" w:rsidRDefault="002A7EB0" w:rsidP="002A7EB0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Прогноз бюджету </w:t>
      </w:r>
      <w:r w:rsidRPr="006D13C1">
        <w:rPr>
          <w:rFonts w:eastAsia="Times New Roman" w:cs="Times New Roman"/>
          <w:sz w:val="24"/>
          <w:szCs w:val="24"/>
          <w:lang w:eastAsia="ru-RU"/>
        </w:rPr>
        <w:t>Райгородської сільської</w:t>
      </w: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територіальної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громади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на 2022- 2024 роки (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далі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– Прогноз)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розроблено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основі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діючих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положень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бюджетного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податкового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законодавства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основних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прогнозних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макропоказників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економічного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соціального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на 2022-2024 роки,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визначених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Бюджетною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декларацією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на 2022-2024 роки,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затвердженою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постановою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Кабінету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Міністрів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від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31.05.2021 № 548 «Про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схвалення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Бюджетної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декларації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на 2022-2024 роки»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інших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законодавчих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актів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питань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бюджету та м,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аналізу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виконання бюджету </w:t>
      </w:r>
      <w:proofErr w:type="spellStart"/>
      <w:r w:rsidRPr="006D13C1">
        <w:rPr>
          <w:rFonts w:eastAsia="Times New Roman" w:cs="Times New Roman"/>
          <w:sz w:val="24"/>
          <w:szCs w:val="24"/>
          <w:lang w:eastAsia="ru-RU"/>
        </w:rPr>
        <w:t>сільс</w:t>
      </w:r>
      <w:r w:rsidRPr="006D13C1">
        <w:rPr>
          <w:rFonts w:eastAsia="Times New Roman" w:cs="Times New Roman"/>
          <w:sz w:val="24"/>
          <w:szCs w:val="24"/>
          <w:lang w:val="ru-RU" w:eastAsia="ru-RU"/>
        </w:rPr>
        <w:t>ької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територіальної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громади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попередніх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поточному бюджетному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періоді</w:t>
      </w:r>
      <w:proofErr w:type="spellEnd"/>
    </w:p>
    <w:p w:rsidR="002A7EB0" w:rsidRPr="006D13C1" w:rsidRDefault="002A7EB0" w:rsidP="002A7EB0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>Метою середньострокового прогнозування є запровадження дієвого механізму управління бюджетним процесом в територіальній громаді, встановлення взаємозв’язку між стратегічними цілями та можливостями бюджету у середньостроковій перспективі, забезпечення прозорості, передбачуваності та послідовності бюджетної політики.</w:t>
      </w:r>
    </w:p>
    <w:p w:rsidR="002A7EB0" w:rsidRPr="006D13C1" w:rsidRDefault="002A7EB0" w:rsidP="002A7EB0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Прогноз є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стратегічним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документом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планування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показників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бюджету </w:t>
      </w:r>
      <w:r w:rsidRPr="006D13C1">
        <w:rPr>
          <w:rFonts w:eastAsia="Times New Roman" w:cs="Times New Roman"/>
          <w:sz w:val="24"/>
          <w:szCs w:val="24"/>
          <w:lang w:eastAsia="ru-RU"/>
        </w:rPr>
        <w:t>Райгородської сільської</w:t>
      </w: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територіальної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громади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середньостроковий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період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і основою для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складання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проєкту бюджету на 2022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рік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.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Для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досягнення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мети Прогнозу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планується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забезпечити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виконання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наступних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завдань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:</w:t>
      </w:r>
    </w:p>
    <w:p w:rsidR="002A7EB0" w:rsidRPr="006D13C1" w:rsidRDefault="002A7EB0" w:rsidP="002A7EB0">
      <w:pPr>
        <w:numPr>
          <w:ilvl w:val="0"/>
          <w:numId w:val="6"/>
        </w:numPr>
        <w:shd w:val="clear" w:color="auto" w:fill="FFFFFF"/>
        <w:spacing w:after="160" w:line="259" w:lineRule="auto"/>
        <w:ind w:left="709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підвищення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результативності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ефективності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управління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бюджетними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коштами;</w:t>
      </w:r>
    </w:p>
    <w:p w:rsidR="002A7EB0" w:rsidRPr="006D13C1" w:rsidRDefault="002A7EB0" w:rsidP="002A7EB0">
      <w:pPr>
        <w:numPr>
          <w:ilvl w:val="0"/>
          <w:numId w:val="6"/>
        </w:numPr>
        <w:shd w:val="clear" w:color="auto" w:fill="FFFFFF"/>
        <w:spacing w:after="160" w:line="259" w:lineRule="auto"/>
        <w:ind w:left="709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виконання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дохідної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бюджету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сільської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територіальної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громади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показників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затверджених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сільською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радою;</w:t>
      </w:r>
    </w:p>
    <w:p w:rsidR="002A7EB0" w:rsidRPr="006D13C1" w:rsidRDefault="002A7EB0" w:rsidP="002A7EB0">
      <w:pPr>
        <w:numPr>
          <w:ilvl w:val="0"/>
          <w:numId w:val="6"/>
        </w:numPr>
        <w:shd w:val="clear" w:color="auto" w:fill="FFFFFF"/>
        <w:spacing w:after="160" w:line="259" w:lineRule="auto"/>
        <w:ind w:left="709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вжиття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залучення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додаткових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надходжень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6D13C1">
        <w:rPr>
          <w:rFonts w:eastAsia="Times New Roman" w:cs="Times New Roman"/>
          <w:sz w:val="24"/>
          <w:szCs w:val="24"/>
          <w:lang w:val="ru-RU" w:eastAsia="ru-RU"/>
        </w:rPr>
        <w:t>до бюджету</w:t>
      </w:r>
      <w:proofErr w:type="gram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сільської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територіальної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громади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зокрема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шляхом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ефективного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управління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земельними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ресурсами;</w:t>
      </w:r>
    </w:p>
    <w:p w:rsidR="002A7EB0" w:rsidRPr="006D13C1" w:rsidRDefault="002A7EB0" w:rsidP="002A7EB0">
      <w:pPr>
        <w:numPr>
          <w:ilvl w:val="0"/>
          <w:numId w:val="6"/>
        </w:numPr>
        <w:shd w:val="clear" w:color="auto" w:fill="FFFFFF"/>
        <w:spacing w:after="160" w:line="259" w:lineRule="auto"/>
        <w:ind w:left="709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підвищення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результативності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ефективності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бюджетних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видатків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шляхом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застосування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дієвих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методів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економії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бюджетних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коштів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здійснення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оптимізації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витрат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головних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розпорядників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бюджетних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коштів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шляхом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виключення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непріоритетних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неефективних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витрат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подальшої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оптимізації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бюджетних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програм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6"/>
        </w:numPr>
        <w:shd w:val="clear" w:color="auto" w:fill="FFFFFF"/>
        <w:spacing w:after="160" w:line="259" w:lineRule="auto"/>
        <w:ind w:left="709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запровадження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дієвих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енергозбереження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.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ab/>
      </w: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На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середньострокову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перспективу в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умовах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стабілізації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національної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економіки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основними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цілями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яких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планується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досягти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в рамках виконання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завдань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Прогнозу, є:</w:t>
      </w:r>
    </w:p>
    <w:p w:rsidR="002A7EB0" w:rsidRPr="006D13C1" w:rsidRDefault="002A7EB0" w:rsidP="002A7EB0">
      <w:pPr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зростання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дохідної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бюджету за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рахунок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активізації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підприємницького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потенціалу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підвищення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податкоспроможності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зниження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частки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тіньової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економіки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підвищення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рівня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прозорості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раціональності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бюджетного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процесу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посилення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бюджетної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дисципліни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контролю за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витратами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бюджету;</w:t>
      </w:r>
    </w:p>
    <w:p w:rsidR="002A7EB0" w:rsidRPr="006D13C1" w:rsidRDefault="002A7EB0" w:rsidP="002A7EB0">
      <w:pPr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підтримка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економічного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зростання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зміцнення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фінансово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-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економічної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самостійності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бюджету Райгородської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сільської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територіальної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громади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удосконалення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результативних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показників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з метою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підвищення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якості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відповідних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сферах;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>Прогноз 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базується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 на принципах 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збалансованості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, 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обґрунтованості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,</w:t>
      </w:r>
      <w:r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ефективності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</w:t>
      </w:r>
      <w:r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результативності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.</w:t>
      </w:r>
    </w:p>
    <w:p w:rsidR="002A7EB0" w:rsidRPr="006D13C1" w:rsidRDefault="002A7EB0" w:rsidP="002A7EB0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Основними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  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ризиками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що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можуть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вплинути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на виконання Прогнозу бюджету, є:</w:t>
      </w:r>
    </w:p>
    <w:p w:rsidR="002A7EB0" w:rsidRPr="006D13C1" w:rsidRDefault="002A7EB0" w:rsidP="002A7EB0">
      <w:pPr>
        <w:numPr>
          <w:ilvl w:val="0"/>
          <w:numId w:val="8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прийняття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 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змін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 до бюджетно-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податкового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 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законодавства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, 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що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призводять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скорочення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бюджетних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надходжень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8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прийняття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центральними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органами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влади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рішень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які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призводять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збільшення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видатків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місцевих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бюджетів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без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передачі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відповідного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фінансового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ресурсу на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їх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виконання;</w:t>
      </w:r>
    </w:p>
    <w:p w:rsidR="002A7EB0" w:rsidRPr="006D13C1" w:rsidRDefault="002A7EB0" w:rsidP="002A7EB0">
      <w:pPr>
        <w:numPr>
          <w:ilvl w:val="0"/>
          <w:numId w:val="8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збільшення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видатків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унаслідок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дії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зовнішньоекономічного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чинника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збільшення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цін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енергоносії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зміни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курсів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валют);</w:t>
      </w:r>
    </w:p>
    <w:p w:rsidR="002A7EB0" w:rsidRPr="006D13C1" w:rsidRDefault="002A7EB0" w:rsidP="002A7EB0">
      <w:pPr>
        <w:shd w:val="clear" w:color="auto" w:fill="FFFFFF"/>
        <w:ind w:firstLine="360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lastRenderedPageBreak/>
        <w:t>Основними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заходами для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мінімізації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впливу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ризиків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показники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бюджету є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дотримання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об’єктивності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час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формування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доходів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бюджету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використання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сучасних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методів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бюджетного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планування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фінансового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контролю.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> </w:t>
      </w:r>
    </w:p>
    <w:p w:rsidR="002A7EB0" w:rsidRPr="006D13C1" w:rsidRDefault="002A7EB0" w:rsidP="002A7EB0">
      <w:pPr>
        <w:shd w:val="clear" w:color="auto" w:fill="FFFFFF"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II. </w:t>
      </w:r>
      <w:proofErr w:type="spellStart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Основні</w:t>
      </w:r>
      <w:proofErr w:type="spellEnd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прогнозні</w:t>
      </w:r>
      <w:proofErr w:type="spellEnd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показники</w:t>
      </w:r>
      <w:proofErr w:type="spellEnd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економічного</w:t>
      </w:r>
      <w:proofErr w:type="spellEnd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соціального</w:t>
      </w:r>
      <w:proofErr w:type="spellEnd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розвитку</w:t>
      </w:r>
      <w:proofErr w:type="spellEnd"/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При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здійсненні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прогнозу бюджету на 2022-2024 роки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застосовані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такі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основні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прогнозні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макропоказники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економічного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соціального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:</w:t>
      </w:r>
    </w:p>
    <w:tbl>
      <w:tblPr>
        <w:tblW w:w="94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0"/>
        <w:gridCol w:w="1286"/>
        <w:gridCol w:w="1301"/>
        <w:gridCol w:w="1286"/>
      </w:tblGrid>
      <w:tr w:rsidR="002A7EB0" w:rsidRPr="006D13C1" w:rsidTr="00581B4E">
        <w:trPr>
          <w:trHeight w:val="307"/>
        </w:trPr>
        <w:tc>
          <w:tcPr>
            <w:tcW w:w="5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2022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рік</w:t>
            </w:r>
            <w:proofErr w:type="spellEnd"/>
          </w:p>
        </w:tc>
        <w:tc>
          <w:tcPr>
            <w:tcW w:w="1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2023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рік</w:t>
            </w:r>
            <w:proofErr w:type="spellEnd"/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2024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рік</w:t>
            </w:r>
            <w:proofErr w:type="spellEnd"/>
          </w:p>
        </w:tc>
      </w:tr>
      <w:tr w:rsidR="002A7EB0" w:rsidRPr="006D13C1" w:rsidTr="00581B4E">
        <w:trPr>
          <w:trHeight w:val="602"/>
        </w:trPr>
        <w:tc>
          <w:tcPr>
            <w:tcW w:w="5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Індекс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споживчих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цін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грудень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грудня</w:t>
            </w:r>
            <w:proofErr w:type="spellEnd"/>
          </w:p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попереднього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року), %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106,2</w:t>
            </w:r>
          </w:p>
        </w:tc>
        <w:tc>
          <w:tcPr>
            <w:tcW w:w="1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105,3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105,0</w:t>
            </w:r>
          </w:p>
        </w:tc>
      </w:tr>
      <w:tr w:rsidR="002A7EB0" w:rsidRPr="006D13C1" w:rsidTr="00581B4E">
        <w:trPr>
          <w:trHeight w:val="589"/>
        </w:trPr>
        <w:tc>
          <w:tcPr>
            <w:tcW w:w="5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Індекс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цін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виробників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грудень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грудня</w:t>
            </w:r>
            <w:proofErr w:type="spellEnd"/>
          </w:p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попереднього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року), %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107,8</w:t>
            </w:r>
          </w:p>
        </w:tc>
        <w:tc>
          <w:tcPr>
            <w:tcW w:w="1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106,2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105,7</w:t>
            </w:r>
          </w:p>
        </w:tc>
      </w:tr>
    </w:tbl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> 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час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розрахунку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враховано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такі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соціальні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стандарти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:</w:t>
      </w:r>
    </w:p>
    <w:p w:rsidR="002A7EB0" w:rsidRPr="006D13C1" w:rsidRDefault="002A7EB0" w:rsidP="002A7EB0">
      <w:pPr>
        <w:numPr>
          <w:ilvl w:val="0"/>
          <w:numId w:val="2"/>
        </w:numPr>
        <w:shd w:val="clear" w:color="auto" w:fill="FFFFFF"/>
        <w:spacing w:after="160" w:line="259" w:lineRule="auto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Мінімальна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заробітна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плата: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з 01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січня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2022 року – 6 500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гривень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з 01 жовтня 2022 року – 6 700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гривень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з 01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січня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2023 року – 7 176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гривень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з 01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січня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2024 року – 7 665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гривень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.</w:t>
      </w:r>
    </w:p>
    <w:p w:rsidR="002A7EB0" w:rsidRPr="006D13C1" w:rsidRDefault="002A7EB0" w:rsidP="002A7EB0">
      <w:pPr>
        <w:numPr>
          <w:ilvl w:val="0"/>
          <w:numId w:val="3"/>
        </w:numPr>
        <w:shd w:val="clear" w:color="auto" w:fill="FFFFFF"/>
        <w:spacing w:after="160" w:line="259" w:lineRule="auto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Посадовий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оклад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працівника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1 тарифного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розряду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Єдиної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тарифної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сітки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: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з 01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січня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2022 року – 2 893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гривні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з 01 жовтня 2022 року – 2 982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гривні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з 01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січня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2023 року – 3 193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гривні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з 01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січня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2024 року – 3 411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гривень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.</w:t>
      </w:r>
    </w:p>
    <w:p w:rsidR="002A7EB0" w:rsidRPr="006D13C1" w:rsidRDefault="002A7EB0" w:rsidP="002A7EB0">
      <w:pPr>
        <w:numPr>
          <w:ilvl w:val="0"/>
          <w:numId w:val="4"/>
        </w:numPr>
        <w:shd w:val="clear" w:color="auto" w:fill="FFFFFF"/>
        <w:spacing w:after="160" w:line="259" w:lineRule="auto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Розмір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прожиткового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мінімуму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9"/>
        <w:gridCol w:w="926"/>
        <w:gridCol w:w="926"/>
        <w:gridCol w:w="926"/>
      </w:tblGrid>
      <w:tr w:rsidR="002A7EB0" w:rsidRPr="006D13C1" w:rsidTr="00581B4E">
        <w:trPr>
          <w:trHeight w:val="427"/>
        </w:trPr>
        <w:tc>
          <w:tcPr>
            <w:tcW w:w="6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2022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рік</w:t>
            </w:r>
            <w:proofErr w:type="spellEnd"/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2023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рік</w:t>
            </w:r>
            <w:proofErr w:type="spellEnd"/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2024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рік</w:t>
            </w:r>
            <w:proofErr w:type="spellEnd"/>
          </w:p>
        </w:tc>
      </w:tr>
      <w:tr w:rsidR="002A7EB0" w:rsidRPr="006D13C1" w:rsidTr="00581B4E">
        <w:trPr>
          <w:trHeight w:val="293"/>
        </w:trPr>
        <w:tc>
          <w:tcPr>
            <w:tcW w:w="6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В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розрахунку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на одну особу: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2A7EB0" w:rsidRPr="006D13C1" w:rsidTr="00581B4E">
        <w:trPr>
          <w:trHeight w:val="281"/>
        </w:trPr>
        <w:tc>
          <w:tcPr>
            <w:tcW w:w="6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- з 1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січня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року (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гривні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2393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2589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2778</w:t>
            </w:r>
          </w:p>
        </w:tc>
      </w:tr>
      <w:tr w:rsidR="002A7EB0" w:rsidRPr="006D13C1" w:rsidTr="00581B4E">
        <w:trPr>
          <w:trHeight w:val="281"/>
        </w:trPr>
        <w:tc>
          <w:tcPr>
            <w:tcW w:w="6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- з 1 липня року (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гривні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2508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2713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2911</w:t>
            </w:r>
          </w:p>
        </w:tc>
      </w:tr>
      <w:tr w:rsidR="002A7EB0" w:rsidRPr="006D13C1" w:rsidTr="00581B4E">
        <w:trPr>
          <w:trHeight w:val="293"/>
        </w:trPr>
        <w:tc>
          <w:tcPr>
            <w:tcW w:w="6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- з 1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грудня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року (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гривні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2589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2778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2972</w:t>
            </w:r>
          </w:p>
        </w:tc>
      </w:tr>
      <w:tr w:rsidR="002A7EB0" w:rsidRPr="006D13C1" w:rsidTr="00581B4E">
        <w:trPr>
          <w:trHeight w:val="337"/>
        </w:trPr>
        <w:tc>
          <w:tcPr>
            <w:tcW w:w="6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Для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основних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соціальних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демографічних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груп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населення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2A7EB0" w:rsidRPr="006D13C1" w:rsidTr="00581B4E">
        <w:trPr>
          <w:trHeight w:val="281"/>
        </w:trPr>
        <w:tc>
          <w:tcPr>
            <w:tcW w:w="6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>дітей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 xml:space="preserve">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>віком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 xml:space="preserve"> до 6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>років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>: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2A7EB0" w:rsidRPr="006D13C1" w:rsidTr="00581B4E">
        <w:trPr>
          <w:trHeight w:val="281"/>
        </w:trPr>
        <w:tc>
          <w:tcPr>
            <w:tcW w:w="6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- з 1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січня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року (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гривні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2100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2272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2438</w:t>
            </w:r>
          </w:p>
        </w:tc>
      </w:tr>
      <w:tr w:rsidR="002A7EB0" w:rsidRPr="006D13C1" w:rsidTr="00581B4E">
        <w:trPr>
          <w:trHeight w:val="293"/>
        </w:trPr>
        <w:tc>
          <w:tcPr>
            <w:tcW w:w="6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- з 1 липня року (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гривні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2201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2381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2555</w:t>
            </w:r>
          </w:p>
        </w:tc>
      </w:tr>
      <w:tr w:rsidR="002A7EB0" w:rsidRPr="006D13C1" w:rsidTr="00581B4E">
        <w:trPr>
          <w:trHeight w:val="281"/>
        </w:trPr>
        <w:tc>
          <w:tcPr>
            <w:tcW w:w="6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- з 1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грудня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року (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гривні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2272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2438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2609</w:t>
            </w:r>
          </w:p>
        </w:tc>
      </w:tr>
      <w:tr w:rsidR="002A7EB0" w:rsidRPr="006D13C1" w:rsidTr="00581B4E">
        <w:trPr>
          <w:trHeight w:val="281"/>
        </w:trPr>
        <w:tc>
          <w:tcPr>
            <w:tcW w:w="6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>дітей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 xml:space="preserve">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>віком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 xml:space="preserve">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>від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 xml:space="preserve"> 6 до 18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>років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>: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2A7EB0" w:rsidRPr="006D13C1" w:rsidTr="00581B4E">
        <w:trPr>
          <w:trHeight w:val="293"/>
        </w:trPr>
        <w:tc>
          <w:tcPr>
            <w:tcW w:w="6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- з 1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січня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року (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гривні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2618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2833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3040</w:t>
            </w:r>
          </w:p>
        </w:tc>
      </w:tr>
      <w:tr w:rsidR="002A7EB0" w:rsidRPr="006D13C1" w:rsidTr="00581B4E">
        <w:trPr>
          <w:trHeight w:val="293"/>
        </w:trPr>
        <w:tc>
          <w:tcPr>
            <w:tcW w:w="6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- з 1 липня року (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гривні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2744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2969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3186</w:t>
            </w:r>
          </w:p>
        </w:tc>
      </w:tr>
      <w:tr w:rsidR="002A7EB0" w:rsidRPr="006D13C1" w:rsidTr="00581B4E">
        <w:trPr>
          <w:trHeight w:val="293"/>
        </w:trPr>
        <w:tc>
          <w:tcPr>
            <w:tcW w:w="6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- з 1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грудня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року (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гривні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2833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3040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3253</w:t>
            </w:r>
          </w:p>
        </w:tc>
      </w:tr>
      <w:tr w:rsidR="002A7EB0" w:rsidRPr="006D13C1" w:rsidTr="00581B4E">
        <w:trPr>
          <w:trHeight w:val="281"/>
        </w:trPr>
        <w:tc>
          <w:tcPr>
            <w:tcW w:w="6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>працездатних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 xml:space="preserve"> осіб: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2A7EB0" w:rsidRPr="006D13C1" w:rsidTr="00581B4E">
        <w:trPr>
          <w:trHeight w:val="281"/>
        </w:trPr>
        <w:tc>
          <w:tcPr>
            <w:tcW w:w="6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- з 1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січня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року (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гривні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2481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2684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2880</w:t>
            </w:r>
          </w:p>
        </w:tc>
      </w:tr>
      <w:tr w:rsidR="002A7EB0" w:rsidRPr="006D13C1" w:rsidTr="00581B4E">
        <w:trPr>
          <w:trHeight w:val="293"/>
        </w:trPr>
        <w:tc>
          <w:tcPr>
            <w:tcW w:w="6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- з 1 липня року (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гривні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2600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2813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3018</w:t>
            </w:r>
          </w:p>
        </w:tc>
      </w:tr>
      <w:tr w:rsidR="002A7EB0" w:rsidRPr="006D13C1" w:rsidTr="00581B4E">
        <w:trPr>
          <w:trHeight w:val="293"/>
        </w:trPr>
        <w:tc>
          <w:tcPr>
            <w:tcW w:w="6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- з 1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грудня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року (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гривні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2684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2880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3082</w:t>
            </w:r>
          </w:p>
        </w:tc>
      </w:tr>
    </w:tbl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6"/>
        <w:gridCol w:w="928"/>
        <w:gridCol w:w="928"/>
        <w:gridCol w:w="928"/>
      </w:tblGrid>
      <w:tr w:rsidR="002A7EB0" w:rsidRPr="006D13C1" w:rsidTr="00581B4E">
        <w:trPr>
          <w:trHeight w:val="282"/>
        </w:trPr>
        <w:tc>
          <w:tcPr>
            <w:tcW w:w="6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 xml:space="preserve">осіб, які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>втратили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 xml:space="preserve">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>працездатність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u w:val="single"/>
                <w:lang w:val="ru-RU" w:eastAsia="ru-RU"/>
              </w:rPr>
              <w:t>: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2A7EB0" w:rsidRPr="006D13C1" w:rsidTr="00581B4E">
        <w:trPr>
          <w:trHeight w:val="294"/>
        </w:trPr>
        <w:tc>
          <w:tcPr>
            <w:tcW w:w="6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- з 1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січня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року (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гривні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1934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2093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2246</w:t>
            </w:r>
          </w:p>
        </w:tc>
      </w:tr>
      <w:tr w:rsidR="002A7EB0" w:rsidRPr="006D13C1" w:rsidTr="00581B4E">
        <w:trPr>
          <w:trHeight w:val="282"/>
        </w:trPr>
        <w:tc>
          <w:tcPr>
            <w:tcW w:w="6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- з 1 липня року (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гривні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2027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2193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2354</w:t>
            </w:r>
          </w:p>
        </w:tc>
      </w:tr>
      <w:tr w:rsidR="002A7EB0" w:rsidRPr="006D13C1" w:rsidTr="00581B4E">
        <w:trPr>
          <w:trHeight w:val="282"/>
        </w:trPr>
        <w:tc>
          <w:tcPr>
            <w:tcW w:w="6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- з 1 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грудня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року (</w:t>
            </w:r>
            <w:proofErr w:type="spellStart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гривні</w:t>
            </w:r>
            <w:proofErr w:type="spellEnd"/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2093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2246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EB0" w:rsidRPr="006D13C1" w:rsidRDefault="002A7EB0" w:rsidP="00581B4E">
            <w:pPr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6D13C1">
              <w:rPr>
                <w:rFonts w:eastAsia="Times New Roman" w:cs="Times New Roman"/>
                <w:sz w:val="24"/>
                <w:szCs w:val="24"/>
                <w:lang w:val="ru-RU" w:eastAsia="ru-RU"/>
              </w:rPr>
              <w:t>2403</w:t>
            </w:r>
          </w:p>
        </w:tc>
      </w:tr>
    </w:tbl>
    <w:p w:rsidR="002A7EB0" w:rsidRPr="006D13C1" w:rsidRDefault="002A7EB0" w:rsidP="002A7EB0">
      <w:pPr>
        <w:shd w:val="clear" w:color="auto" w:fill="FFFFFF"/>
        <w:jc w:val="center"/>
        <w:rPr>
          <w:rFonts w:eastAsia="Times New Roman" w:cs="Times New Roman"/>
          <w:b/>
          <w:sz w:val="24"/>
          <w:szCs w:val="24"/>
          <w:lang w:val="ru-RU" w:eastAsia="ru-RU"/>
        </w:rPr>
      </w:pPr>
    </w:p>
    <w:p w:rsidR="002A7EB0" w:rsidRPr="006D13C1" w:rsidRDefault="002A7EB0" w:rsidP="002A7EB0">
      <w:pPr>
        <w:shd w:val="clear" w:color="auto" w:fill="FFFFFF"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III. </w:t>
      </w:r>
      <w:proofErr w:type="spellStart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Загальні</w:t>
      </w:r>
      <w:proofErr w:type="spellEnd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показники</w:t>
      </w:r>
      <w:proofErr w:type="spellEnd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 бюджету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lastRenderedPageBreak/>
        <w:tab/>
        <w:t>Прогноз бюджету на 2022-2024 роки включає прогнозовані показники бюджету громади за основними видами доходів, фінансування, видатків. Зазначені показники</w:t>
      </w:r>
      <w:r w:rsidRPr="006D13C1">
        <w:rPr>
          <w:rFonts w:eastAsia="Times New Roman" w:cs="Times New Roman"/>
          <w:sz w:val="24"/>
          <w:szCs w:val="24"/>
          <w:lang w:val="ru-RU" w:eastAsia="ru-RU"/>
        </w:rPr>
        <w:t> </w:t>
      </w:r>
      <w:r w:rsidRPr="006D13C1">
        <w:rPr>
          <w:rFonts w:eastAsia="Times New Roman" w:cs="Times New Roman"/>
          <w:sz w:val="24"/>
          <w:szCs w:val="24"/>
          <w:lang w:eastAsia="ru-RU"/>
        </w:rPr>
        <w:t>є основою для складання головними розпорядниками бюджетних  коштів планів своєї діяльності, місцевих програм та формування показників проекту бюджету  сільської територіальної громади на 2022 рік. Формування проекту бюджету на відповідний рік здійснюватиметься  з урахуванням змін  основних прогнозованих показників економічного і соціального розвитку громади. Обсяг ресурсу  бюджету Райгородської сільської територіальної громади  на 2022 рік прогнозується в обсязі  68323839 грн., 2023 рік - 73648919 грн., 2024 рік - 78225423 грн.</w:t>
      </w:r>
    </w:p>
    <w:p w:rsidR="002A7EB0" w:rsidRPr="006D13C1" w:rsidRDefault="002A7EB0" w:rsidP="002A7EB0">
      <w:pPr>
        <w:shd w:val="clear" w:color="auto" w:fill="FFFFFF"/>
        <w:spacing w:before="100" w:beforeAutospacing="1"/>
        <w:ind w:left="36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spellStart"/>
      <w:r w:rsidRPr="006D13C1">
        <w:rPr>
          <w:rFonts w:eastAsia="Times New Roman" w:cs="Times New Roman"/>
          <w:b/>
          <w:sz w:val="24"/>
          <w:szCs w:val="24"/>
          <w:lang w:eastAsia="ru-RU"/>
        </w:rPr>
        <w:t>IV.Показники</w:t>
      </w:r>
      <w:proofErr w:type="spellEnd"/>
      <w:r w:rsidRPr="006D13C1">
        <w:rPr>
          <w:rFonts w:eastAsia="Times New Roman" w:cs="Times New Roman"/>
          <w:b/>
          <w:sz w:val="24"/>
          <w:szCs w:val="24"/>
          <w:lang w:eastAsia="ru-RU"/>
        </w:rPr>
        <w:t xml:space="preserve"> доходів бюджету</w:t>
      </w:r>
    </w:p>
    <w:p w:rsidR="002A7EB0" w:rsidRPr="006D13C1" w:rsidRDefault="002A7EB0" w:rsidP="002A7EB0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>Прогноз доходів бюджету на 2022-2024 роки Райгородської сільської територіальної громади  визначений на підставі чинних норм податкового та бюджетного законодавства, прогнозних показників економічного і соціального розвитку громади, підвищення розміру мінімальної заробітної плати, динаміки надходжень за 2019-2020 роки та очікуваного виконання за 2021 рік. Основним  джерелом формування дохідної частини бюджету громади є податок на доходи фізичних осіб, що сплачується податковими агентами із доходів платника податку у вигляді заробітної плати. Прогноз надходжень з податку на доходи фізичних осіб розраховано відповідно до єдиної ставки (18%) оподаткування доходів фізичних осіб . Темпи росту  податку  на доходи фізичних осіб прогнозується у 2022 році на рівні  на 11,7 % в порівнянні з очікуваними надходженнями у 2021 році, у 2023 році -18,5%, у 2024 році -23,6%.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6D13C1">
        <w:rPr>
          <w:rFonts w:eastAsia="Times New Roman" w:cs="Times New Roman"/>
          <w:sz w:val="24"/>
          <w:szCs w:val="24"/>
          <w:lang w:eastAsia="ru-RU"/>
        </w:rPr>
        <w:tab/>
        <w:t>Другим  важливим джерелом є податок на майно. Розрахунок прогнозованої суми плати за землю на 2022-2024 роки проведено за підсумками фактичних надходжень за попередні роки, з урахуванням перегляду договорів оренди земельних ділянок в частині збільшення орендної плати, погашення податкового боргу, збільшення ставок земельного податку. Темпи росту плати за землю прогнозуються у 2022 році на рівні 1,5% в порівнянні з очікуваними надходженнями у 2021 році, у 2023 році -2,7%, у 2024 році -2,9%.</w:t>
      </w:r>
    </w:p>
    <w:p w:rsidR="002A7EB0" w:rsidRPr="006D13C1" w:rsidRDefault="002A7EB0" w:rsidP="002A7EB0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>Податок на нерухоме майно, відмінне від земельної ділянки, на 2022-2024 роки прогнозується з урахуванням збільшення мінімальної заробітної плати.</w:t>
      </w:r>
    </w:p>
    <w:p w:rsidR="002A7EB0" w:rsidRPr="006D13C1" w:rsidRDefault="002A7EB0" w:rsidP="002A7EB0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>Доходи бюджету Райгородської сільської територіальної громади на 2022-2024 роки визначені у додатку 2 до цього прогнозу.</w:t>
      </w:r>
    </w:p>
    <w:p w:rsidR="002A7EB0" w:rsidRPr="006D13C1" w:rsidRDefault="002A7EB0" w:rsidP="002A7EB0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A7EB0" w:rsidRPr="006D13C1" w:rsidRDefault="002A7EB0" w:rsidP="002A7EB0">
      <w:pPr>
        <w:shd w:val="clear" w:color="auto" w:fill="FFFFFF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6D13C1"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 w:rsidRPr="006D13C1">
        <w:rPr>
          <w:rFonts w:eastAsia="Times New Roman" w:cs="Times New Roman"/>
          <w:b/>
          <w:sz w:val="24"/>
          <w:szCs w:val="24"/>
          <w:lang w:eastAsia="ru-RU"/>
        </w:rPr>
        <w:t>. Показники фінансування бюджету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6D13C1">
        <w:rPr>
          <w:rFonts w:eastAsia="Times New Roman" w:cs="Times New Roman"/>
          <w:sz w:val="24"/>
          <w:szCs w:val="24"/>
          <w:lang w:eastAsia="ru-RU"/>
        </w:rPr>
        <w:t>Згідно з положеннями Бюджетного кодексу України на стадії та в ході внесення змін до бюджету, в бюджеті Райгородської сільської територіальної громади можуть виникати:</w:t>
      </w:r>
    </w:p>
    <w:p w:rsidR="002A7EB0" w:rsidRPr="006D13C1" w:rsidRDefault="002A7EB0" w:rsidP="002A7EB0">
      <w:pPr>
        <w:numPr>
          <w:ilvl w:val="0"/>
          <w:numId w:val="9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дефіцит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загальним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фондом у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разі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використання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вільного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залишку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бюджетних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коштів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9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>-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профіцит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загальним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фондом у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разі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спрямування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юджету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коштів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із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загального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фонду бюджету;</w:t>
      </w:r>
    </w:p>
    <w:p w:rsidR="002A7EB0" w:rsidRPr="006D13C1" w:rsidRDefault="002A7EB0" w:rsidP="002A7EB0">
      <w:pPr>
        <w:numPr>
          <w:ilvl w:val="0"/>
          <w:numId w:val="9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>-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дефіцит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спеціальним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фондом у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разі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залучення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6D13C1">
        <w:rPr>
          <w:rFonts w:eastAsia="Times New Roman" w:cs="Times New Roman"/>
          <w:sz w:val="24"/>
          <w:szCs w:val="24"/>
          <w:lang w:val="ru-RU" w:eastAsia="ru-RU"/>
        </w:rPr>
        <w:t>до</w:t>
      </w:r>
      <w:r w:rsidRPr="006D13C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6D13C1">
        <w:rPr>
          <w:rFonts w:eastAsia="Times New Roman" w:cs="Times New Roman"/>
          <w:sz w:val="24"/>
          <w:szCs w:val="24"/>
          <w:lang w:val="ru-RU" w:eastAsia="ru-RU"/>
        </w:rPr>
        <w:t>бюджету</w:t>
      </w:r>
      <w:proofErr w:type="gram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коштів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із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запозичень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кошти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із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загального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фонду бюджету, 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також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разі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використання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залишків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коштів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спеціального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фонду бюджету,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крім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власних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надходжень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бюджетних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установ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. 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ab/>
        <w:t xml:space="preserve">Показники фінансування бюджету Райгородської територіальної громади на 2022-2024 роки визначені у додатку 3 до цього Прогнозу. 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A7EB0" w:rsidRPr="006D13C1" w:rsidRDefault="002A7EB0" w:rsidP="002A7EB0">
      <w:pPr>
        <w:shd w:val="clear" w:color="auto" w:fill="FFFFFF"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VI</w:t>
      </w:r>
      <w:r w:rsidRPr="006D13C1">
        <w:rPr>
          <w:rFonts w:eastAsia="Times New Roman" w:cs="Times New Roman"/>
          <w:b/>
          <w:sz w:val="24"/>
          <w:szCs w:val="24"/>
          <w:lang w:eastAsia="ru-RU"/>
        </w:rPr>
        <w:t xml:space="preserve">. Показники видатків бюджету </w:t>
      </w:r>
    </w:p>
    <w:p w:rsidR="002A7EB0" w:rsidRPr="006D13C1" w:rsidRDefault="002A7EB0" w:rsidP="002A7EB0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>Основним  завданням бюджетної політики в Райгородській сільській територіальній громаді  залишатиметься забезпечення стабільності, стійкості та збалансованості бюджетної системи, підвищення якості надання суспільних послуг.</w:t>
      </w:r>
    </w:p>
    <w:p w:rsidR="002A7EB0" w:rsidRPr="006D13C1" w:rsidRDefault="002A7EB0" w:rsidP="002A7EB0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 xml:space="preserve">Основними завданнями усіх учасників бюджетного процесу на середньостроковий період є здійснення заходів загальнодержавного та місцевого значення з проведення дієвих реформ в усіх сферах діяльності з максимально можливим економічним ефектом при мінімальних затратах та підвищення ефективності використання бюджетних коштів в умовах жорсткої економії, проведення роботи з оптимізації мережі галузей бюджетної сфери, </w:t>
      </w:r>
      <w:r w:rsidRPr="006D13C1">
        <w:rPr>
          <w:rFonts w:eastAsia="Times New Roman" w:cs="Times New Roman"/>
          <w:sz w:val="24"/>
          <w:szCs w:val="24"/>
          <w:lang w:eastAsia="ru-RU"/>
        </w:rPr>
        <w:lastRenderedPageBreak/>
        <w:t>впровадження ефективних заходів з енергозбереження, спрямування капітальних вкладень на підвищення комфортності умов проживання, збільшення обсягу платних послуг, що надаються бюджетними установами.</w:t>
      </w:r>
    </w:p>
    <w:p w:rsidR="002A7EB0" w:rsidRPr="006D13C1" w:rsidRDefault="002A7EB0" w:rsidP="002A7EB0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A7EB0" w:rsidRPr="006D13C1" w:rsidRDefault="002A7EB0" w:rsidP="002A7EB0">
      <w:pPr>
        <w:shd w:val="clear" w:color="auto" w:fill="FFFFFF"/>
        <w:ind w:firstLine="708"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6D13C1">
        <w:rPr>
          <w:rFonts w:eastAsia="Times New Roman" w:cs="Times New Roman"/>
          <w:b/>
          <w:sz w:val="24"/>
          <w:szCs w:val="24"/>
          <w:lang w:eastAsia="ru-RU"/>
        </w:rPr>
        <w:t>Державне управління</w:t>
      </w:r>
    </w:p>
    <w:p w:rsidR="002A7EB0" w:rsidRPr="006D13C1" w:rsidRDefault="002A7EB0" w:rsidP="002A7EB0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 xml:space="preserve">У галузі державного управління пріоритетним завданням є надання виконавчими органами  Райгородської сільської  ради високоякісних і доступних адміністративних, соціальних та інших послуг населенню, створення належних матеріальних, фінансових та організаційних умов для забезпечення здійснення власних та делегованих повноважень, визначених Конституцією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Законом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Україні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»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іншими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законами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.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У 2022-2024 роках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передбачається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здійснити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такі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заходи:</w:t>
      </w:r>
    </w:p>
    <w:p w:rsidR="002A7EB0" w:rsidRPr="006D13C1" w:rsidRDefault="002A7EB0" w:rsidP="002A7EB0">
      <w:pPr>
        <w:numPr>
          <w:ilvl w:val="0"/>
          <w:numId w:val="10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принципу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прозорості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діяльності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виконавчих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органів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сільської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ради;</w:t>
      </w:r>
    </w:p>
    <w:p w:rsidR="002A7EB0" w:rsidRPr="006D13C1" w:rsidRDefault="002A7EB0" w:rsidP="002A7EB0">
      <w:pPr>
        <w:shd w:val="clear" w:color="auto" w:fill="FFFFFF"/>
        <w:ind w:left="720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Основними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результатами,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яких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планується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досягти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, є:</w:t>
      </w:r>
    </w:p>
    <w:p w:rsidR="002A7EB0" w:rsidRPr="006D13C1" w:rsidRDefault="002A7EB0" w:rsidP="002A7EB0">
      <w:pPr>
        <w:numPr>
          <w:ilvl w:val="0"/>
          <w:numId w:val="10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 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якісного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, максимально 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зручного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 та комфортного</w:t>
      </w:r>
      <w:r w:rsidRPr="006D13C1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обслуговування</w:t>
      </w:r>
      <w:proofErr w:type="spellEnd"/>
      <w:r w:rsidRPr="006D13C1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громадян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0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організація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адміністративних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населенню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найкоротший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строк та за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мінімальної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кількості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відвідувань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0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розширення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переліку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адміністративних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A7EB0" w:rsidRPr="006D13C1" w:rsidRDefault="002A7EB0" w:rsidP="002A7EB0">
      <w:pPr>
        <w:shd w:val="clear" w:color="auto" w:fill="FFFFFF"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6D13C1">
        <w:rPr>
          <w:rFonts w:eastAsia="Times New Roman" w:cs="Times New Roman"/>
          <w:b/>
          <w:sz w:val="24"/>
          <w:szCs w:val="24"/>
          <w:lang w:eastAsia="ru-RU"/>
        </w:rPr>
        <w:t>Освіта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> </w:t>
      </w:r>
      <w:r w:rsidRPr="006D13C1">
        <w:rPr>
          <w:rFonts w:eastAsia="Times New Roman" w:cs="Times New Roman"/>
          <w:sz w:val="24"/>
          <w:szCs w:val="24"/>
          <w:lang w:eastAsia="ru-RU"/>
        </w:rPr>
        <w:tab/>
        <w:t>У галузі освіти в умовах розробки на державному рівні подальших кроків реформування галузі та запровадження на місцевому рівні системи її модернізації пріоритетними завданнями розвитку є:</w:t>
      </w:r>
    </w:p>
    <w:p w:rsidR="002A7EB0" w:rsidRPr="006D13C1" w:rsidRDefault="002A7EB0" w:rsidP="002A7EB0">
      <w:pPr>
        <w:numPr>
          <w:ilvl w:val="0"/>
          <w:numId w:val="11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стабільного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функціонування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галузі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1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права і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комфортних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умов на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освіту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дітей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особливими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потребами;</w:t>
      </w:r>
    </w:p>
    <w:p w:rsidR="002A7EB0" w:rsidRPr="006D13C1" w:rsidRDefault="002A7EB0" w:rsidP="002A7EB0">
      <w:pPr>
        <w:numPr>
          <w:ilvl w:val="0"/>
          <w:numId w:val="11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розбудова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нової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української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школи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1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розвиток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підтримка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роботи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обдарованою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талановитою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молоддю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різнобічний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розвиток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індивідуальності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дитини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її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задатків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здібностей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1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приведення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  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матеріально-технічної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  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бази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   та  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навчального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 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оснащення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освітніх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сучасних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стандартів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організації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навчального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середовища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Протягом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   2022-2024  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років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  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кошти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   бюджету  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будуть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  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спрямовані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   на виконання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із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:</w:t>
      </w:r>
    </w:p>
    <w:p w:rsidR="002A7EB0" w:rsidRPr="006D13C1" w:rsidRDefault="002A7EB0" w:rsidP="002A7EB0">
      <w:pPr>
        <w:numPr>
          <w:ilvl w:val="0"/>
          <w:numId w:val="12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впровадження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сучасних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технологій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дистанційного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змішаного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навчання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умовах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сучасного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освітнього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простору;</w:t>
      </w:r>
    </w:p>
    <w:p w:rsidR="002A7EB0" w:rsidRPr="006D13C1" w:rsidRDefault="002A7EB0" w:rsidP="002A7EB0">
      <w:pPr>
        <w:numPr>
          <w:ilvl w:val="0"/>
          <w:numId w:val="12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безпечних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умов для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перебування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дітей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навчальних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закладах. </w:t>
      </w:r>
    </w:p>
    <w:p w:rsidR="002A7EB0" w:rsidRPr="006D13C1" w:rsidRDefault="002A7EB0" w:rsidP="002A7EB0">
      <w:pPr>
        <w:numPr>
          <w:ilvl w:val="0"/>
          <w:numId w:val="12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продовження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робіт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оновлення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шкільних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меблів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дидактичними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матеріалами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учнів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початкових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класів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в рамках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реалізації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реформи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загальної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середньої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«Нова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українська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школа»;</w:t>
      </w:r>
    </w:p>
    <w:p w:rsidR="002A7EB0" w:rsidRPr="006D13C1" w:rsidRDefault="002A7EB0" w:rsidP="002A7EB0">
      <w:pPr>
        <w:numPr>
          <w:ilvl w:val="0"/>
          <w:numId w:val="12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100-відсоткове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охоплення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дітей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повною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загальною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середньою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освітою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2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підвищення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рівня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загальноосвітніх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навчальних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сучасним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обладнанням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2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створення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безпечних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умов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перебування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дітей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навчальних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закладах;</w:t>
      </w:r>
    </w:p>
    <w:p w:rsidR="002A7EB0" w:rsidRPr="006D13C1" w:rsidRDefault="002A7EB0" w:rsidP="002A7EB0">
      <w:pPr>
        <w:numPr>
          <w:ilvl w:val="0"/>
          <w:numId w:val="12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поступова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модернізація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технологічного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обладнання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харчоблоках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.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ab/>
        <w:t>Основні результати , яких планується досягти:</w:t>
      </w:r>
    </w:p>
    <w:p w:rsidR="002A7EB0" w:rsidRPr="006D13C1" w:rsidRDefault="002A7EB0" w:rsidP="002A7EB0">
      <w:pPr>
        <w:numPr>
          <w:ilvl w:val="0"/>
          <w:numId w:val="5"/>
        </w:numPr>
        <w:shd w:val="clear" w:color="auto" w:fill="FFFFFF"/>
        <w:spacing w:after="160" w:line="259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>створення нового освітнього середовища, яке відповідає умовам сьогодення;</w:t>
      </w:r>
    </w:p>
    <w:p w:rsidR="002A7EB0" w:rsidRPr="006D13C1" w:rsidRDefault="002A7EB0" w:rsidP="002A7EB0">
      <w:pPr>
        <w:numPr>
          <w:ilvl w:val="0"/>
          <w:numId w:val="5"/>
        </w:numPr>
        <w:shd w:val="clear" w:color="auto" w:fill="FFFFFF"/>
        <w:spacing w:after="160" w:line="259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>забезпечення доступної дошкільної, загальної середньої та позашкільної освіти з урахуванням демографічних реалій шляхом оптимізації мережі таких закладів;</w:t>
      </w:r>
    </w:p>
    <w:p w:rsidR="002A7EB0" w:rsidRPr="006D13C1" w:rsidRDefault="002A7EB0" w:rsidP="002A7EB0">
      <w:pPr>
        <w:numPr>
          <w:ilvl w:val="0"/>
          <w:numId w:val="5"/>
        </w:numPr>
        <w:shd w:val="clear" w:color="auto" w:fill="FFFFFF"/>
        <w:spacing w:after="160" w:line="259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>надання освітніх послуг учням з особливими освітніми потребами;</w:t>
      </w:r>
    </w:p>
    <w:p w:rsidR="002A7EB0" w:rsidRPr="006D13C1" w:rsidRDefault="002A7EB0" w:rsidP="002A7EB0">
      <w:pPr>
        <w:shd w:val="clear" w:color="auto" w:fill="FFFFFF"/>
        <w:ind w:firstLine="360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 xml:space="preserve">Реалізація освітніх послуг буде </w:t>
      </w:r>
      <w:proofErr w:type="spellStart"/>
      <w:r w:rsidRPr="006D13C1">
        <w:rPr>
          <w:rFonts w:eastAsia="Times New Roman" w:cs="Times New Roman"/>
          <w:sz w:val="24"/>
          <w:szCs w:val="24"/>
          <w:lang w:eastAsia="ru-RU"/>
        </w:rPr>
        <w:t>здійснюватись</w:t>
      </w:r>
      <w:proofErr w:type="spellEnd"/>
      <w:r w:rsidRPr="006D13C1">
        <w:rPr>
          <w:rFonts w:eastAsia="Times New Roman" w:cs="Times New Roman"/>
          <w:sz w:val="24"/>
          <w:szCs w:val="24"/>
          <w:lang w:eastAsia="ru-RU"/>
        </w:rPr>
        <w:t xml:space="preserve"> через існуючу мережу освітніх закладів, яка включає в себе 9 закладів дошкільної освіти , 6 закладів загальної середньої освіти.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A7EB0" w:rsidRPr="006D13C1" w:rsidRDefault="002A7EB0" w:rsidP="002A7EB0">
      <w:pPr>
        <w:shd w:val="clear" w:color="auto" w:fill="FFFFFF"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6D13C1">
        <w:rPr>
          <w:rFonts w:eastAsia="Times New Roman" w:cs="Times New Roman"/>
          <w:b/>
          <w:sz w:val="24"/>
          <w:szCs w:val="24"/>
          <w:lang w:eastAsia="ru-RU"/>
        </w:rPr>
        <w:t>Охорона здоров’я</w:t>
      </w:r>
    </w:p>
    <w:p w:rsidR="002A7EB0" w:rsidRPr="006D13C1" w:rsidRDefault="002A7EB0" w:rsidP="002A7EB0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>Пріоритетними напрямами фінансового забезпечення в галузі охорона здоров’я визначено створення умов для стабільного функціонування комунального некомерційного підприємства охорони здоров’я, зміцнення їх матеріально-технічної бази, впровадження медичних технологій та підвищення якості надання медичної допомоги.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Пріоритетними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напрямками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галузі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є:</w:t>
      </w:r>
    </w:p>
    <w:p w:rsidR="002A7EB0" w:rsidRPr="006D13C1" w:rsidRDefault="002A7EB0" w:rsidP="002A7EB0">
      <w:pPr>
        <w:numPr>
          <w:ilvl w:val="0"/>
          <w:numId w:val="13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створення    умов    для   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стабільного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   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функціонування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   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комунального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некомерційного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підприємства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охорони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здоров’я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Протягом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   2022-2024  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років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  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кошти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   бюджету  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будуть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  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спрямовані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   на виконання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із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:</w:t>
      </w:r>
    </w:p>
    <w:p w:rsidR="002A7EB0" w:rsidRPr="006D13C1" w:rsidRDefault="002A7EB0" w:rsidP="002A7EB0">
      <w:pPr>
        <w:numPr>
          <w:ilvl w:val="0"/>
          <w:numId w:val="14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оплати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комунальних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енергоносіїв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4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покращання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матеріально-технічної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бази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охорони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здоров’я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4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фінансування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медичних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які не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забезпечуються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державою.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Основні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результати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яких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планується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досягти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:</w:t>
      </w:r>
    </w:p>
    <w:p w:rsidR="002A7EB0" w:rsidRPr="006D13C1" w:rsidRDefault="002A7EB0" w:rsidP="002A7EB0">
      <w:pPr>
        <w:numPr>
          <w:ilvl w:val="0"/>
          <w:numId w:val="15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підвищення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рівня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медичного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обслуговування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населення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5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запровадження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нових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підходів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організації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роботи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охорони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здоров’я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їх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фінансового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5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подальший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розвиток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медичного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обслуговування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населення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реформування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системи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охорони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здоров’я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5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зниження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рівнів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загальної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захворюваності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населення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.</w:t>
      </w:r>
    </w:p>
    <w:p w:rsidR="002A7EB0" w:rsidRPr="006D13C1" w:rsidRDefault="002A7EB0" w:rsidP="002A7EB0">
      <w:pPr>
        <w:shd w:val="clear" w:color="auto" w:fill="FFFFFF"/>
        <w:ind w:firstLine="360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 xml:space="preserve">Реалізація медичних послуг буде </w:t>
      </w:r>
      <w:proofErr w:type="spellStart"/>
      <w:r w:rsidRPr="006D13C1">
        <w:rPr>
          <w:rFonts w:eastAsia="Times New Roman" w:cs="Times New Roman"/>
          <w:sz w:val="24"/>
          <w:szCs w:val="24"/>
          <w:lang w:eastAsia="ru-RU"/>
        </w:rPr>
        <w:t>здійснюватись</w:t>
      </w:r>
      <w:proofErr w:type="spellEnd"/>
      <w:r w:rsidRPr="006D13C1">
        <w:rPr>
          <w:rFonts w:eastAsia="Times New Roman" w:cs="Times New Roman"/>
          <w:sz w:val="24"/>
          <w:szCs w:val="24"/>
          <w:lang w:eastAsia="ru-RU"/>
        </w:rPr>
        <w:t xml:space="preserve"> КНП </w:t>
      </w:r>
      <w:proofErr w:type="spellStart"/>
      <w:r w:rsidRPr="006D13C1">
        <w:rPr>
          <w:rFonts w:eastAsia="Times New Roman" w:cs="Times New Roman"/>
          <w:sz w:val="24"/>
          <w:szCs w:val="24"/>
          <w:lang w:eastAsia="ru-RU"/>
        </w:rPr>
        <w:t>Райгородський</w:t>
      </w:r>
      <w:proofErr w:type="spellEnd"/>
      <w:r w:rsidRPr="006D13C1">
        <w:rPr>
          <w:rFonts w:eastAsia="Times New Roman" w:cs="Times New Roman"/>
          <w:sz w:val="24"/>
          <w:szCs w:val="24"/>
          <w:lang w:eastAsia="ru-RU"/>
        </w:rPr>
        <w:t xml:space="preserve"> ЦПМСД, який включає в себе 3 лікарських амбулаторії., 8 фельдшерських пунктів.</w:t>
      </w:r>
    </w:p>
    <w:p w:rsidR="002A7EB0" w:rsidRPr="006D13C1" w:rsidRDefault="002A7EB0" w:rsidP="002A7EB0">
      <w:pPr>
        <w:shd w:val="clear" w:color="auto" w:fill="FFFFFF"/>
        <w:rPr>
          <w:rFonts w:eastAsia="Times New Roman" w:cs="Times New Roman"/>
          <w:sz w:val="24"/>
          <w:szCs w:val="24"/>
          <w:lang w:eastAsia="ru-RU"/>
        </w:rPr>
      </w:pPr>
    </w:p>
    <w:p w:rsidR="002A7EB0" w:rsidRPr="006D13C1" w:rsidRDefault="002A7EB0" w:rsidP="002A7EB0">
      <w:pPr>
        <w:shd w:val="clear" w:color="auto" w:fill="FFFFFF"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6D13C1">
        <w:rPr>
          <w:rFonts w:eastAsia="Times New Roman" w:cs="Times New Roman"/>
          <w:b/>
          <w:sz w:val="24"/>
          <w:szCs w:val="24"/>
          <w:lang w:eastAsia="ru-RU"/>
        </w:rPr>
        <w:t>Соціальний захист</w:t>
      </w:r>
      <w:r w:rsidRPr="006D13C1">
        <w:rPr>
          <w:rFonts w:eastAsia="Times New Roman" w:cs="Times New Roman"/>
          <w:sz w:val="24"/>
          <w:szCs w:val="24"/>
          <w:lang w:val="ru-RU" w:eastAsia="ru-RU"/>
        </w:rPr>
        <w:t> </w:t>
      </w:r>
    </w:p>
    <w:p w:rsidR="002A7EB0" w:rsidRPr="006D13C1" w:rsidRDefault="002A7EB0" w:rsidP="002A7EB0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>У галузі соціального захисту та соціального забезпечення основними пріоритетними напрямками реалізації державної соціальної політики, спрямованої на створення умов для інтеграції осіб з інвалідністю у суспільне життя, забезпечення прав та інтересів дітей, надання соціальної підтримки особам і сім’ям, які перебувають у складних життєвих обставинах та самостійно не можуть їх подолати, забезпечення гідної старості, підвищення якості та рівня життя мешканців територіальної громади, є:</w:t>
      </w:r>
    </w:p>
    <w:p w:rsidR="002A7EB0" w:rsidRPr="006D13C1" w:rsidRDefault="002A7EB0" w:rsidP="002A7EB0">
      <w:pPr>
        <w:numPr>
          <w:ilvl w:val="0"/>
          <w:numId w:val="16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   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максимальної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   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адресності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   та    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наближеності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   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надання</w:t>
      </w:r>
      <w:proofErr w:type="spellEnd"/>
    </w:p>
    <w:p w:rsidR="002A7EB0" w:rsidRPr="006D13C1" w:rsidRDefault="002A7EB0" w:rsidP="002A7EB0">
      <w:pPr>
        <w:numPr>
          <w:ilvl w:val="0"/>
          <w:numId w:val="16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відповідної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соціальної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підтримки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тим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хто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її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потребує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6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розширення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спектру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соціальних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6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комплексної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соціальної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підтримки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учасникам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АТО/ООС, членам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їх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сімей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членам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сімей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загиблих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померлих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), які брали участь в АТО/ООС;</w:t>
      </w:r>
    </w:p>
    <w:p w:rsidR="002A7EB0" w:rsidRPr="006D13C1" w:rsidRDefault="002A7EB0" w:rsidP="002A7EB0">
      <w:pPr>
        <w:numPr>
          <w:ilvl w:val="0"/>
          <w:numId w:val="16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захисту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прав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дітей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підтримка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сімей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дітьми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Дієвим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механізмом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підтримки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малозабезпечених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верств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населення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є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здійснення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таких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основних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:</w:t>
      </w:r>
    </w:p>
    <w:p w:rsidR="002A7EB0" w:rsidRPr="006D13C1" w:rsidRDefault="002A7EB0" w:rsidP="002A7EB0">
      <w:pPr>
        <w:numPr>
          <w:ilvl w:val="0"/>
          <w:numId w:val="17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посилення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соціального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захисту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учасників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АТО/ООС,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членів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їх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сімей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також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членів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сімей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загиблих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померлих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учасників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АТО/ООС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Героїв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Небесної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Сотні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7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різних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видів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матеріальної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допомоги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малозабезпеченим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верствам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населення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7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грошової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компенсації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безоплатний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проїзд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окремих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категорій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громадян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shd w:val="clear" w:color="auto" w:fill="FFFFFF"/>
        <w:ind w:firstLine="360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Основними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результатами,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яких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планується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досягти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є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підвищення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якості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соціальних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особам,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що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опинилися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складних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життєвих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обставинах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підвищення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матеріального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стану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незахищених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верств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населення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.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Прогнозними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показниками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видатків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бюджету </w:t>
      </w:r>
      <w:r w:rsidRPr="006D13C1">
        <w:rPr>
          <w:rFonts w:eastAsia="Times New Roman" w:cs="Times New Roman"/>
          <w:sz w:val="24"/>
          <w:szCs w:val="24"/>
          <w:lang w:eastAsia="ru-RU"/>
        </w:rPr>
        <w:t>Райгородської сільської</w:t>
      </w: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територіальної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громади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на 2022-2024 роки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планується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здійснення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діяльності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6D13C1">
        <w:rPr>
          <w:rFonts w:eastAsia="Times New Roman" w:cs="Times New Roman"/>
          <w:sz w:val="24"/>
          <w:szCs w:val="24"/>
          <w:lang w:eastAsia="ru-RU"/>
        </w:rPr>
        <w:t>наступних бюджетних програм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>3032 Надання пільг окремим категоріями громадян з оплати послуг зв’язку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>3104 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інвалідністю;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>3160 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 , які не здатні до самообслуговування і потребують сторонньої допомоги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lastRenderedPageBreak/>
        <w:t>3242 Інші заходи у сфері соціального захисту і соціального забезпечення.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A7EB0" w:rsidRPr="006D13C1" w:rsidRDefault="002A7EB0" w:rsidP="002A7EB0">
      <w:pPr>
        <w:shd w:val="clear" w:color="auto" w:fill="FFFFFF"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6D13C1">
        <w:rPr>
          <w:rFonts w:eastAsia="Times New Roman" w:cs="Times New Roman"/>
          <w:b/>
          <w:sz w:val="24"/>
          <w:szCs w:val="24"/>
          <w:lang w:eastAsia="ru-RU"/>
        </w:rPr>
        <w:t>Культура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У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галузі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культури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пріоритетними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напрямами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є:</w:t>
      </w:r>
    </w:p>
    <w:p w:rsidR="002A7EB0" w:rsidRPr="006D13C1" w:rsidRDefault="002A7EB0" w:rsidP="002A7EB0">
      <w:pPr>
        <w:numPr>
          <w:ilvl w:val="0"/>
          <w:numId w:val="18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доступності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громадян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документів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інформації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створення умов для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задоволення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духовних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потреб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мешканців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громади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сприяння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професійному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освітньому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громадян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комплектування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зберігання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бібліотечних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фондів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їх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облік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контроль за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виконанням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8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збереження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популяризації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духовних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надбань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організація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культурного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дозвілля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населення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зміцнення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культурно –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національних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традицій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підвищення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рівня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організації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культурного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дозвілля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населення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 </w:t>
      </w:r>
    </w:p>
    <w:p w:rsidR="002A7EB0" w:rsidRPr="006D13C1" w:rsidRDefault="002A7EB0" w:rsidP="002A7EB0">
      <w:pPr>
        <w:numPr>
          <w:ilvl w:val="0"/>
          <w:numId w:val="18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естетичного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виховання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дітей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юнацтва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створення умов для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творчого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особистості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підвищення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культурного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рівня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естетичного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виховання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доступності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освіти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сфері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культури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підростаючого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покоління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8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організації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проведення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державних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професійних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свят, 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У 2022-2024 роках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передбачається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здійснення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таких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:</w:t>
      </w:r>
    </w:p>
    <w:p w:rsidR="002A7EB0" w:rsidRPr="006D13C1" w:rsidRDefault="002A7EB0" w:rsidP="002A7EB0">
      <w:pPr>
        <w:numPr>
          <w:ilvl w:val="0"/>
          <w:numId w:val="19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утримання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інфраструктури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культури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9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зміцнення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матеріально-технічної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бази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культури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технічного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переоснащення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9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поповнення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бібліотечних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фондів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numPr>
          <w:ilvl w:val="0"/>
          <w:numId w:val="19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доступності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закладів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культури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для осіб з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інвалідністю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shd w:val="clear" w:color="auto" w:fill="FFFFFF"/>
        <w:ind w:firstLine="360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Основними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результатами,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яких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планується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досягти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є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підвищення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рівня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культурного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обслуговування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громадян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їх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доступу до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культурних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надбань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.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> </w:t>
      </w:r>
    </w:p>
    <w:p w:rsidR="002A7EB0" w:rsidRPr="006D13C1" w:rsidRDefault="002A7EB0" w:rsidP="002A7EB0">
      <w:pPr>
        <w:shd w:val="clear" w:color="auto" w:fill="FFFFFF"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6D13C1">
        <w:rPr>
          <w:rFonts w:eastAsia="Times New Roman" w:cs="Times New Roman"/>
          <w:b/>
          <w:sz w:val="24"/>
          <w:szCs w:val="24"/>
          <w:lang w:eastAsia="ru-RU"/>
        </w:rPr>
        <w:t>Житлово-комунальне господарство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> </w:t>
      </w:r>
      <w:r w:rsidRPr="006D13C1">
        <w:rPr>
          <w:rFonts w:eastAsia="Times New Roman" w:cs="Times New Roman"/>
          <w:sz w:val="24"/>
          <w:szCs w:val="24"/>
          <w:lang w:val="ru-RU" w:eastAsia="ru-RU"/>
        </w:rPr>
        <w:tab/>
      </w:r>
      <w:r w:rsidRPr="006D13C1">
        <w:rPr>
          <w:rFonts w:eastAsia="Times New Roman" w:cs="Times New Roman"/>
          <w:sz w:val="24"/>
          <w:szCs w:val="24"/>
          <w:lang w:eastAsia="ru-RU"/>
        </w:rPr>
        <w:t>Ц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іл</w:t>
      </w:r>
      <w:proofErr w:type="spellEnd"/>
      <w:r w:rsidRPr="006D13C1">
        <w:rPr>
          <w:rFonts w:eastAsia="Times New Roman" w:cs="Times New Roman"/>
          <w:sz w:val="24"/>
          <w:szCs w:val="24"/>
          <w:lang w:eastAsia="ru-RU"/>
        </w:rPr>
        <w:t>і</w:t>
      </w: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державної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політики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 в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сфері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утримання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об’єктів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житлово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-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комунального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господарства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благоустрою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здійснюється</w:t>
      </w:r>
      <w:proofErr w:type="spellEnd"/>
      <w:r w:rsidRPr="006D13C1">
        <w:rPr>
          <w:rFonts w:eastAsia="Times New Roman" w:cs="Times New Roman"/>
          <w:sz w:val="24"/>
          <w:szCs w:val="24"/>
          <w:lang w:eastAsia="ru-RU"/>
        </w:rPr>
        <w:t xml:space="preserve"> відділом житлово-комунального господарства  Райгородської сільської ради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Пріоритетними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напрямками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є:</w:t>
      </w:r>
    </w:p>
    <w:p w:rsidR="002A7EB0" w:rsidRPr="006D13C1" w:rsidRDefault="002A7EB0" w:rsidP="002A7EB0">
      <w:pPr>
        <w:numPr>
          <w:ilvl w:val="0"/>
          <w:numId w:val="20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здійснення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щодо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підвищення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ефективності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надійного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функціонування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житлово-комунального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господарства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У 2022-2024 роках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передбачається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здійснити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такі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заходи:</w:t>
      </w:r>
    </w:p>
    <w:p w:rsidR="002A7EB0" w:rsidRPr="006D13C1" w:rsidRDefault="002A7EB0" w:rsidP="002A7EB0">
      <w:pPr>
        <w:numPr>
          <w:ilvl w:val="0"/>
          <w:numId w:val="20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стабільної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роботи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належного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рівня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якості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послуг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житлово-комунальному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господарстві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;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Основними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результатами,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яких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планується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досягти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>, є:</w:t>
      </w:r>
    </w:p>
    <w:p w:rsidR="002A7EB0" w:rsidRPr="006D13C1" w:rsidRDefault="002A7EB0" w:rsidP="002A7EB0">
      <w:pPr>
        <w:numPr>
          <w:ilvl w:val="0"/>
          <w:numId w:val="20"/>
        </w:numPr>
        <w:shd w:val="clear" w:color="auto" w:fill="FFFFFF"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покращання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благоустрою</w:t>
      </w:r>
      <w:r w:rsidRPr="006D13C1">
        <w:rPr>
          <w:rFonts w:eastAsia="Times New Roman" w:cs="Times New Roman"/>
          <w:sz w:val="24"/>
          <w:szCs w:val="24"/>
          <w:lang w:eastAsia="ru-RU"/>
        </w:rPr>
        <w:t>.</w:t>
      </w:r>
    </w:p>
    <w:p w:rsidR="002A7EB0" w:rsidRPr="006D13C1" w:rsidRDefault="002A7EB0" w:rsidP="002A7EB0">
      <w:pPr>
        <w:shd w:val="clear" w:color="auto" w:fill="FFFFFF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6D13C1"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11.Бюджет </w:t>
      </w:r>
      <w:proofErr w:type="spellStart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розвитк</w:t>
      </w:r>
      <w:proofErr w:type="spellEnd"/>
      <w:r w:rsidRPr="006D13C1">
        <w:rPr>
          <w:rFonts w:eastAsia="Times New Roman" w:cs="Times New Roman"/>
          <w:b/>
          <w:sz w:val="24"/>
          <w:szCs w:val="24"/>
          <w:lang w:eastAsia="ru-RU"/>
        </w:rPr>
        <w:t>у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6D13C1">
        <w:rPr>
          <w:rFonts w:eastAsia="Times New Roman" w:cs="Times New Roman"/>
          <w:sz w:val="24"/>
          <w:szCs w:val="24"/>
          <w:lang w:eastAsia="ru-RU"/>
        </w:rPr>
        <w:t xml:space="preserve">Видатки бюджету розвитку на </w:t>
      </w:r>
      <w:proofErr w:type="spellStart"/>
      <w:r w:rsidRPr="006D13C1">
        <w:rPr>
          <w:rFonts w:eastAsia="Times New Roman" w:cs="Times New Roman"/>
          <w:sz w:val="24"/>
          <w:szCs w:val="24"/>
          <w:lang w:eastAsia="ru-RU"/>
        </w:rPr>
        <w:t>середньостроков</w:t>
      </w:r>
      <w:proofErr w:type="spellEnd"/>
      <w:r w:rsidRPr="006D13C1">
        <w:rPr>
          <w:rFonts w:eastAsia="Times New Roman" w:cs="Times New Roman"/>
          <w:sz w:val="24"/>
          <w:szCs w:val="24"/>
          <w:lang w:eastAsia="ru-RU"/>
        </w:rPr>
        <w:t xml:space="preserve"> перспективу не планувались у зв’язку з обмеженістю фінансового ресурсу.</w:t>
      </w:r>
    </w:p>
    <w:p w:rsidR="002A7EB0" w:rsidRPr="006D13C1" w:rsidRDefault="002A7EB0" w:rsidP="002A7EB0">
      <w:pPr>
        <w:shd w:val="clear" w:color="auto" w:fill="FFFFFF"/>
        <w:spacing w:before="100" w:beforeAutospacing="1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6D13C1"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11</w:t>
      </w:r>
      <w:r w:rsidRPr="006D13C1">
        <w:rPr>
          <w:rFonts w:eastAsia="Times New Roman" w:cs="Times New Roman"/>
          <w:b/>
          <w:sz w:val="24"/>
          <w:szCs w:val="24"/>
          <w:lang w:eastAsia="ru-RU"/>
        </w:rPr>
        <w:t xml:space="preserve">1. </w:t>
      </w:r>
      <w:proofErr w:type="spellStart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Взаємовідносини</w:t>
      </w:r>
      <w:proofErr w:type="spellEnd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 бюджету з </w:t>
      </w:r>
      <w:proofErr w:type="spellStart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іншими</w:t>
      </w:r>
      <w:proofErr w:type="spellEnd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 бюджетами</w:t>
      </w:r>
    </w:p>
    <w:p w:rsidR="002A7EB0" w:rsidRPr="006D13C1" w:rsidRDefault="002A7EB0" w:rsidP="002A7EB0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>Протягом 2022-2024 років прогнозується отримання освітньої субвенції на 2022 рік – 28069600 грн., 2023 рік -30743100 грн., 2024 рік – 32841000 грн. та базової дотації на 2022 рік – 6316200 грн., 2023 рік -7452800 грн., 2024 рік – 8798700 грн. з державного бюджету місцевим бюджетам в обсягах, визначених Бюджетною декларацією на 2022-2024 роки.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eastAsia="ru-RU"/>
        </w:rPr>
        <w:t>Показники міжбюджетних трансфертів з інших бюджетів у розрізі їх видів та бюджетів відображені у додатку 11 до цього Прогнозу.</w:t>
      </w:r>
    </w:p>
    <w:p w:rsidR="002A7EB0" w:rsidRPr="006D13C1" w:rsidRDefault="002A7EB0" w:rsidP="002A7EB0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6D13C1">
        <w:rPr>
          <w:rFonts w:eastAsia="Times New Roman" w:cs="Times New Roman"/>
          <w:sz w:val="24"/>
          <w:szCs w:val="24"/>
          <w:lang w:val="ru-RU" w:eastAsia="ru-RU"/>
        </w:rPr>
        <w:t> </w:t>
      </w:r>
    </w:p>
    <w:p w:rsidR="002A7EB0" w:rsidRPr="006D13C1" w:rsidRDefault="002A7EB0" w:rsidP="002A7EB0">
      <w:pPr>
        <w:shd w:val="clear" w:color="auto" w:fill="FFFFFF"/>
        <w:jc w:val="center"/>
        <w:rPr>
          <w:rFonts w:eastAsia="Times New Roman" w:cs="Times New Roman"/>
          <w:b/>
          <w:sz w:val="24"/>
          <w:szCs w:val="24"/>
          <w:lang w:val="ru-RU" w:eastAsia="ru-RU"/>
        </w:rPr>
      </w:pPr>
      <w:r w:rsidRPr="006D13C1">
        <w:rPr>
          <w:rFonts w:eastAsia="Times New Roman" w:cs="Times New Roman"/>
          <w:b/>
          <w:sz w:val="24"/>
          <w:szCs w:val="24"/>
          <w:lang w:eastAsia="ru-RU"/>
        </w:rPr>
        <w:t>1X.</w:t>
      </w:r>
      <w:proofErr w:type="spellStart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Інші</w:t>
      </w:r>
      <w:proofErr w:type="spellEnd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положення</w:t>
      </w:r>
      <w:proofErr w:type="spellEnd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 та </w:t>
      </w:r>
      <w:proofErr w:type="spellStart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>показники</w:t>
      </w:r>
      <w:proofErr w:type="spellEnd"/>
      <w:r w:rsidRPr="006D13C1">
        <w:rPr>
          <w:rFonts w:eastAsia="Times New Roman" w:cs="Times New Roman"/>
          <w:b/>
          <w:sz w:val="24"/>
          <w:szCs w:val="24"/>
          <w:lang w:val="ru-RU" w:eastAsia="ru-RU"/>
        </w:rPr>
        <w:t xml:space="preserve"> Прогнозу</w:t>
      </w:r>
    </w:p>
    <w:p w:rsidR="002A7EB0" w:rsidRPr="006D13C1" w:rsidRDefault="002A7EB0" w:rsidP="002A7EB0">
      <w:pPr>
        <w:shd w:val="clear" w:color="auto" w:fill="FFFFFF"/>
        <w:ind w:left="360"/>
        <w:jc w:val="both"/>
        <w:rPr>
          <w:rFonts w:eastAsia="Times New Roman" w:cs="Times New Roman"/>
          <w:sz w:val="24"/>
          <w:szCs w:val="24"/>
          <w:lang w:val="ru-RU" w:eastAsia="ru-RU"/>
        </w:rPr>
      </w:pP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Додатки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1-12 до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цього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Прогнозу є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його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невід’ємною</w:t>
      </w:r>
      <w:proofErr w:type="spellEnd"/>
      <w:r w:rsidRPr="006D13C1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D13C1">
        <w:rPr>
          <w:rFonts w:eastAsia="Times New Roman" w:cs="Times New Roman"/>
          <w:sz w:val="24"/>
          <w:szCs w:val="24"/>
          <w:lang w:val="ru-RU" w:eastAsia="ru-RU"/>
        </w:rPr>
        <w:t>частиною</w:t>
      </w:r>
      <w:proofErr w:type="spellEnd"/>
    </w:p>
    <w:p w:rsidR="002A7EB0" w:rsidRPr="006D13C1" w:rsidRDefault="002A7EB0" w:rsidP="002A7EB0">
      <w:pPr>
        <w:ind w:firstLine="709"/>
        <w:jc w:val="both"/>
        <w:rPr>
          <w:rFonts w:eastAsia="Calibri" w:cs="Times New Roman"/>
          <w:sz w:val="24"/>
          <w:szCs w:val="24"/>
        </w:rPr>
      </w:pPr>
    </w:p>
    <w:p w:rsidR="002A7EB0" w:rsidRPr="006D13C1" w:rsidRDefault="002A7EB0" w:rsidP="002A7EB0">
      <w:pPr>
        <w:ind w:firstLine="709"/>
        <w:jc w:val="both"/>
        <w:rPr>
          <w:rFonts w:eastAsia="Calibri" w:cs="Times New Roman"/>
          <w:sz w:val="24"/>
          <w:szCs w:val="24"/>
        </w:rPr>
      </w:pPr>
    </w:p>
    <w:p w:rsidR="008D68E7" w:rsidRDefault="002A7EB0" w:rsidP="002A7EB0">
      <w:pPr>
        <w:ind w:firstLine="709"/>
        <w:jc w:val="both"/>
      </w:pPr>
      <w:r w:rsidRPr="006D13C1">
        <w:rPr>
          <w:rFonts w:eastAsia="Calibri" w:cs="Times New Roman"/>
          <w:sz w:val="24"/>
          <w:szCs w:val="24"/>
        </w:rPr>
        <w:t>Начальник фінансового відділу                           Людмила ЖУЧЕНКО</w:t>
      </w:r>
      <w:bookmarkStart w:id="1" w:name="_GoBack"/>
      <w:bookmarkEnd w:id="1"/>
    </w:p>
    <w:sectPr w:rsidR="008D6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50A6F"/>
    <w:multiLevelType w:val="multilevel"/>
    <w:tmpl w:val="01A45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D076EB"/>
    <w:multiLevelType w:val="hybridMultilevel"/>
    <w:tmpl w:val="CA68ACE8"/>
    <w:lvl w:ilvl="0" w:tplc="0BC499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B3F87"/>
    <w:multiLevelType w:val="hybridMultilevel"/>
    <w:tmpl w:val="D32AAF38"/>
    <w:lvl w:ilvl="0" w:tplc="0BC499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858FC"/>
    <w:multiLevelType w:val="hybridMultilevel"/>
    <w:tmpl w:val="27BA5B06"/>
    <w:lvl w:ilvl="0" w:tplc="0BC499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74054"/>
    <w:multiLevelType w:val="hybridMultilevel"/>
    <w:tmpl w:val="1B4ED810"/>
    <w:lvl w:ilvl="0" w:tplc="0BC499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4460C"/>
    <w:multiLevelType w:val="hybridMultilevel"/>
    <w:tmpl w:val="EA6E0C32"/>
    <w:lvl w:ilvl="0" w:tplc="0BC499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87518"/>
    <w:multiLevelType w:val="hybridMultilevel"/>
    <w:tmpl w:val="E69A68D4"/>
    <w:lvl w:ilvl="0" w:tplc="0BC499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51878"/>
    <w:multiLevelType w:val="hybridMultilevel"/>
    <w:tmpl w:val="E7EE1662"/>
    <w:lvl w:ilvl="0" w:tplc="0BC499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327D4D"/>
    <w:multiLevelType w:val="multilevel"/>
    <w:tmpl w:val="6C14D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145EB"/>
    <w:multiLevelType w:val="hybridMultilevel"/>
    <w:tmpl w:val="13EC84F2"/>
    <w:lvl w:ilvl="0" w:tplc="0BC499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E05CD9"/>
    <w:multiLevelType w:val="hybridMultilevel"/>
    <w:tmpl w:val="7E5AD1E2"/>
    <w:lvl w:ilvl="0" w:tplc="0BC499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B14D2"/>
    <w:multiLevelType w:val="hybridMultilevel"/>
    <w:tmpl w:val="FB08EE38"/>
    <w:lvl w:ilvl="0" w:tplc="0BC499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0B6E28"/>
    <w:multiLevelType w:val="hybridMultilevel"/>
    <w:tmpl w:val="6BFAF7BA"/>
    <w:lvl w:ilvl="0" w:tplc="0BC499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A14D3B"/>
    <w:multiLevelType w:val="hybridMultilevel"/>
    <w:tmpl w:val="4400013C"/>
    <w:lvl w:ilvl="0" w:tplc="0BC499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57036B"/>
    <w:multiLevelType w:val="hybridMultilevel"/>
    <w:tmpl w:val="E7C8A9D8"/>
    <w:lvl w:ilvl="0" w:tplc="0BC499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164B1"/>
    <w:multiLevelType w:val="hybridMultilevel"/>
    <w:tmpl w:val="4DA898F4"/>
    <w:lvl w:ilvl="0" w:tplc="0BC499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01809"/>
    <w:multiLevelType w:val="multilevel"/>
    <w:tmpl w:val="77DCA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3D298B"/>
    <w:multiLevelType w:val="hybridMultilevel"/>
    <w:tmpl w:val="E90AD03C"/>
    <w:lvl w:ilvl="0" w:tplc="0BC499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DC5D72"/>
    <w:multiLevelType w:val="hybridMultilevel"/>
    <w:tmpl w:val="21541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C90BC7"/>
    <w:multiLevelType w:val="hybridMultilevel"/>
    <w:tmpl w:val="0032BDC0"/>
    <w:lvl w:ilvl="0" w:tplc="0BC499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16"/>
  </w:num>
  <w:num w:numId="4">
    <w:abstractNumId w:val="8"/>
  </w:num>
  <w:num w:numId="5">
    <w:abstractNumId w:val="14"/>
  </w:num>
  <w:num w:numId="6">
    <w:abstractNumId w:val="2"/>
  </w:num>
  <w:num w:numId="7">
    <w:abstractNumId w:val="9"/>
  </w:num>
  <w:num w:numId="8">
    <w:abstractNumId w:val="4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19"/>
  </w:num>
  <w:num w:numId="14">
    <w:abstractNumId w:val="10"/>
  </w:num>
  <w:num w:numId="15">
    <w:abstractNumId w:val="11"/>
  </w:num>
  <w:num w:numId="16">
    <w:abstractNumId w:val="1"/>
  </w:num>
  <w:num w:numId="17">
    <w:abstractNumId w:val="13"/>
  </w:num>
  <w:num w:numId="18">
    <w:abstractNumId w:val="17"/>
  </w:num>
  <w:num w:numId="19">
    <w:abstractNumId w:val="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EB0"/>
    <w:rsid w:val="002A7EB0"/>
    <w:rsid w:val="008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F94AA0A-251F-40A2-A0A3-0427DAFA5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EB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12506</Words>
  <Characters>7129</Characters>
  <Application>Microsoft Office Word</Application>
  <DocSecurity>0</DocSecurity>
  <Lines>59</Lines>
  <Paragraphs>39</Paragraphs>
  <ScaleCrop>false</ScaleCrop>
  <Company/>
  <LinksUpToDate>false</LinksUpToDate>
  <CharactersWithSpaces>19596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2021-10-20T14:23:00Z</dcterms:created>
  <dcterms:modified xsi:type="dcterms:W3CDTF">2021-10-20T14:23:00Z</dcterms:modified>
</cp:coreProperties>
</file>