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5B3" w:rsidRPr="00976B92" w:rsidRDefault="00C475B3" w:rsidP="00C475B3">
      <w:pPr>
        <w:ind w:left="1416"/>
        <w:jc w:val="both"/>
      </w:pPr>
      <w:r>
        <w:tab/>
      </w:r>
      <w:r>
        <w:tab/>
      </w:r>
      <w:r>
        <w:tab/>
      </w:r>
      <w:r>
        <w:tab/>
      </w:r>
      <w:r>
        <w:tab/>
      </w:r>
      <w:r>
        <w:tab/>
      </w:r>
      <w:r>
        <w:tab/>
      </w:r>
      <w:r>
        <w:tab/>
      </w:r>
      <w: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C475B3" w:rsidRPr="00976B92" w:rsidRDefault="00C475B3" w:rsidP="00C475B3">
      <w:pPr>
        <w:pStyle w:val="a7"/>
        <w:rPr>
          <w:sz w:val="24"/>
          <w:szCs w:val="24"/>
        </w:rPr>
      </w:pPr>
      <w:r w:rsidRPr="00976B92">
        <w:rPr>
          <w:sz w:val="24"/>
          <w:szCs w:val="24"/>
        </w:rPr>
        <w:t>У  К  Р  А  Ї  Н  А</w:t>
      </w:r>
    </w:p>
    <w:p w:rsidR="00C475B3" w:rsidRPr="00976B92" w:rsidRDefault="00C475B3" w:rsidP="00C475B3">
      <w:pPr>
        <w:pStyle w:val="a5"/>
        <w:rPr>
          <w:sz w:val="24"/>
          <w:szCs w:val="24"/>
        </w:rPr>
      </w:pPr>
      <w:r w:rsidRPr="00976B92">
        <w:rPr>
          <w:sz w:val="24"/>
          <w:szCs w:val="24"/>
        </w:rPr>
        <w:t>РАЙГОРОДСЬКА СІЛЬСЬКА РАДА</w:t>
      </w:r>
    </w:p>
    <w:p w:rsidR="00C475B3" w:rsidRPr="00976B92" w:rsidRDefault="00C475B3" w:rsidP="00C475B3">
      <w:pPr>
        <w:pStyle w:val="2"/>
        <w:ind w:left="708" w:firstLine="708"/>
        <w:jc w:val="left"/>
        <w:rPr>
          <w:sz w:val="24"/>
          <w:szCs w:val="24"/>
        </w:rPr>
      </w:pPr>
      <w:r w:rsidRPr="00976B92">
        <w:rPr>
          <w:sz w:val="24"/>
          <w:szCs w:val="24"/>
        </w:rPr>
        <w:t xml:space="preserve">                  Немирівського району Вінницької області</w:t>
      </w:r>
    </w:p>
    <w:p w:rsidR="00C475B3" w:rsidRPr="00976B92" w:rsidRDefault="00C475B3" w:rsidP="00C475B3">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C475B3" w:rsidRPr="00976B92" w:rsidRDefault="00C475B3" w:rsidP="00C475B3">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C475B3" w:rsidRPr="00976B92" w:rsidRDefault="00C475B3" w:rsidP="00C475B3">
      <w:pPr>
        <w:ind w:left="77"/>
        <w:outlineLvl w:val="0"/>
        <w:rPr>
          <w:bCs/>
        </w:rPr>
      </w:pPr>
      <w:r w:rsidRPr="00976B92">
        <w:rPr>
          <w:bCs/>
        </w:rPr>
        <w:t>село Райгород</w:t>
      </w: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r w:rsidRPr="00976B92">
        <w:t xml:space="preserve">Про затвердження Програми розвитку освіти </w:t>
      </w:r>
    </w:p>
    <w:p w:rsidR="00C475B3" w:rsidRPr="00976B92" w:rsidRDefault="00C475B3" w:rsidP="00C475B3">
      <w:pPr>
        <w:shd w:val="clear" w:color="auto" w:fill="FFFFFF"/>
        <w:spacing w:line="207" w:lineRule="atLeast"/>
        <w:jc w:val="both"/>
      </w:pPr>
      <w:r w:rsidRPr="00976B92">
        <w:t xml:space="preserve">на території </w:t>
      </w:r>
      <w:proofErr w:type="spellStart"/>
      <w:r w:rsidRPr="00976B92">
        <w:t>Райгородської</w:t>
      </w:r>
      <w:proofErr w:type="spellEnd"/>
      <w:r w:rsidRPr="00976B92">
        <w:t xml:space="preserve"> сільської  ради </w:t>
      </w:r>
    </w:p>
    <w:p w:rsidR="00C475B3" w:rsidRPr="00976B92" w:rsidRDefault="00C475B3" w:rsidP="00C475B3">
      <w:pPr>
        <w:shd w:val="clear" w:color="auto" w:fill="FFFFFF"/>
        <w:spacing w:line="207" w:lineRule="atLeast"/>
        <w:jc w:val="both"/>
      </w:pPr>
      <w:r w:rsidRPr="00976B92">
        <w:t xml:space="preserve">на  2021  рік </w:t>
      </w:r>
    </w:p>
    <w:p w:rsidR="00C475B3" w:rsidRPr="00976B92" w:rsidRDefault="00C475B3" w:rsidP="00C475B3">
      <w:pPr>
        <w:pStyle w:val="a9"/>
        <w:shd w:val="clear" w:color="auto" w:fill="FFFFFF"/>
        <w:spacing w:before="0" w:beforeAutospacing="0" w:after="0" w:afterAutospacing="0" w:line="183" w:lineRule="atLeast"/>
        <w:rPr>
          <w:lang w:val="uk-UA"/>
        </w:rPr>
      </w:pPr>
      <w:r w:rsidRPr="00976B92">
        <w:t> </w:t>
      </w:r>
    </w:p>
    <w:p w:rsidR="00C475B3" w:rsidRPr="00976B92" w:rsidRDefault="00C475B3" w:rsidP="00C475B3">
      <w:pPr>
        <w:shd w:val="clear" w:color="auto" w:fill="FFFFFF"/>
        <w:spacing w:line="244" w:lineRule="atLeast"/>
        <w:jc w:val="both"/>
        <w:textAlignment w:val="baseline"/>
      </w:pPr>
      <w:r w:rsidRPr="00976B92">
        <w:t> </w:t>
      </w:r>
      <w:r w:rsidRPr="00976B92">
        <w:tab/>
        <w:t>Відповідно до статті 26 пункту 22 Закону України “Про місцеве самоврядування в Україні”, Закон України «Про освіту»,  Закон України «Про загальну середню освіту»,   Указ Президента України № 1013 від 4 липня 2005 року «Про невідкладні заходи щодо забезпечення функціонування та розвитку освіти в Україні»</w:t>
      </w:r>
      <w:r w:rsidRPr="00976B92">
        <w:rPr>
          <w:b/>
          <w:bCs/>
        </w:rPr>
        <w:t> </w:t>
      </w:r>
      <w:r w:rsidRPr="00976B92">
        <w:t xml:space="preserve"> та ст. 101 Бюджетного кодексу України, з метою розвитку системи загальної середньої освіти, забезпечення економічних і соціальних гарантій самореалізації особистості, підтримки та стимулювання </w:t>
      </w:r>
      <w:proofErr w:type="spellStart"/>
      <w:r w:rsidRPr="00976B92">
        <w:t>інтелектуально</w:t>
      </w:r>
      <w:proofErr w:type="spellEnd"/>
      <w:r w:rsidRPr="00976B92">
        <w:t xml:space="preserve"> і творчо обдарованих школярів, поліпшення матеріальної бази та умов навчання в навчальних закладах на території </w:t>
      </w:r>
      <w:proofErr w:type="spellStart"/>
      <w:r w:rsidRPr="00976B92">
        <w:t>Райгородської</w:t>
      </w:r>
      <w:proofErr w:type="spellEnd"/>
      <w:r w:rsidRPr="00976B92">
        <w:t xml:space="preserve"> об’єднаної територіальної громади, сільська рада</w:t>
      </w:r>
    </w:p>
    <w:p w:rsidR="00C475B3" w:rsidRPr="00976B92" w:rsidRDefault="00C475B3" w:rsidP="00C475B3">
      <w:pPr>
        <w:pStyle w:val="a9"/>
        <w:shd w:val="clear" w:color="auto" w:fill="FFFFFF"/>
        <w:spacing w:before="0" w:beforeAutospacing="0" w:after="0" w:afterAutospacing="0" w:line="183" w:lineRule="atLeast"/>
        <w:rPr>
          <w:lang w:val="uk-UA"/>
        </w:rPr>
      </w:pPr>
      <w:r w:rsidRPr="00976B92">
        <w:t> </w:t>
      </w:r>
    </w:p>
    <w:p w:rsidR="00C475B3" w:rsidRPr="00976B92" w:rsidRDefault="00C475B3" w:rsidP="00C475B3">
      <w:pPr>
        <w:pStyle w:val="a9"/>
        <w:shd w:val="clear" w:color="auto" w:fill="FFFFFF"/>
        <w:spacing w:before="0" w:beforeAutospacing="0" w:after="0" w:afterAutospacing="0" w:line="183" w:lineRule="atLeast"/>
        <w:jc w:val="center"/>
      </w:pPr>
      <w:r w:rsidRPr="00976B92">
        <w:t>ВИРІШИЛА:</w:t>
      </w:r>
    </w:p>
    <w:p w:rsidR="00C475B3" w:rsidRPr="00976B92" w:rsidRDefault="00C475B3" w:rsidP="00C475B3">
      <w:pPr>
        <w:pStyle w:val="a9"/>
        <w:shd w:val="clear" w:color="auto" w:fill="FFFFFF"/>
        <w:spacing w:before="0" w:beforeAutospacing="0" w:after="0" w:afterAutospacing="0" w:line="183" w:lineRule="atLeast"/>
      </w:pPr>
      <w:r w:rsidRPr="00976B92">
        <w:t> </w:t>
      </w:r>
    </w:p>
    <w:p w:rsidR="00C475B3" w:rsidRPr="00976B92" w:rsidRDefault="00C475B3" w:rsidP="00C475B3">
      <w:pPr>
        <w:pStyle w:val="a9"/>
        <w:numPr>
          <w:ilvl w:val="1"/>
          <w:numId w:val="1"/>
        </w:numPr>
        <w:shd w:val="clear" w:color="auto" w:fill="FFFFFF"/>
        <w:tabs>
          <w:tab w:val="clear" w:pos="720"/>
          <w:tab w:val="num" w:pos="360"/>
        </w:tabs>
        <w:spacing w:before="0" w:beforeAutospacing="0" w:after="0" w:afterAutospacing="0" w:line="183" w:lineRule="atLeast"/>
        <w:ind w:left="426"/>
        <w:jc w:val="both"/>
      </w:pPr>
      <w:r w:rsidRPr="00976B92">
        <w:rPr>
          <w:lang w:val="uk-UA"/>
        </w:rPr>
        <w:t>З</w:t>
      </w:r>
      <w:proofErr w:type="spellStart"/>
      <w:r w:rsidRPr="00976B92">
        <w:t>атверд</w:t>
      </w:r>
      <w:r w:rsidRPr="00976B92">
        <w:rPr>
          <w:lang w:val="uk-UA"/>
        </w:rPr>
        <w:t>ити</w:t>
      </w:r>
      <w:proofErr w:type="spellEnd"/>
      <w:r w:rsidRPr="00976B92">
        <w:t xml:space="preserve"> </w:t>
      </w:r>
      <w:r w:rsidRPr="00976B92">
        <w:rPr>
          <w:lang w:val="uk-UA"/>
        </w:rPr>
        <w:t>«</w:t>
      </w:r>
      <w:proofErr w:type="spellStart"/>
      <w:r w:rsidRPr="00976B92">
        <w:t>Програм</w:t>
      </w:r>
      <w:proofErr w:type="spellEnd"/>
      <w:r w:rsidRPr="00976B92">
        <w:rPr>
          <w:lang w:val="uk-UA"/>
        </w:rPr>
        <w:t>у</w:t>
      </w:r>
      <w:r w:rsidRPr="00976B92">
        <w:t xml:space="preserve"> </w:t>
      </w:r>
      <w:proofErr w:type="spellStart"/>
      <w:r w:rsidRPr="00976B92">
        <w:t>розвитку</w:t>
      </w:r>
      <w:proofErr w:type="spellEnd"/>
      <w:r w:rsidRPr="00976B92">
        <w:t xml:space="preserve"> </w:t>
      </w:r>
      <w:proofErr w:type="spellStart"/>
      <w:r w:rsidRPr="00976B92">
        <w:t>освіти</w:t>
      </w:r>
      <w:proofErr w:type="spellEnd"/>
      <w:r w:rsidRPr="00976B92">
        <w:t xml:space="preserve"> </w:t>
      </w:r>
      <w:r w:rsidRPr="00976B92">
        <w:rPr>
          <w:lang w:val="uk-UA"/>
        </w:rPr>
        <w:t xml:space="preserve">на території </w:t>
      </w:r>
      <w:proofErr w:type="spellStart"/>
      <w:r w:rsidRPr="00976B92">
        <w:rPr>
          <w:lang w:val="uk-UA"/>
        </w:rPr>
        <w:t>Райгородської</w:t>
      </w:r>
      <w:proofErr w:type="spellEnd"/>
      <w:r w:rsidRPr="00976B92">
        <w:rPr>
          <w:lang w:val="uk-UA"/>
        </w:rPr>
        <w:t xml:space="preserve"> сільської</w:t>
      </w:r>
      <w:r w:rsidRPr="00976B92">
        <w:t xml:space="preserve">  ради на  </w:t>
      </w:r>
      <w:r w:rsidRPr="00976B92">
        <w:rPr>
          <w:lang w:val="uk-UA"/>
        </w:rPr>
        <w:t>2021</w:t>
      </w:r>
      <w:r w:rsidRPr="00976B92">
        <w:t xml:space="preserve">  р</w:t>
      </w:r>
      <w:proofErr w:type="spellStart"/>
      <w:r w:rsidRPr="00976B92">
        <w:rPr>
          <w:lang w:val="uk-UA"/>
        </w:rPr>
        <w:t>ік</w:t>
      </w:r>
      <w:proofErr w:type="spellEnd"/>
      <w:r w:rsidRPr="00976B92">
        <w:rPr>
          <w:lang w:val="uk-UA"/>
        </w:rPr>
        <w:t>»</w:t>
      </w:r>
      <w:r w:rsidRPr="00976B92">
        <w:t>.</w:t>
      </w:r>
    </w:p>
    <w:p w:rsidR="00C475B3" w:rsidRPr="00976B92" w:rsidRDefault="00C475B3" w:rsidP="00C475B3">
      <w:pPr>
        <w:pStyle w:val="a3"/>
        <w:numPr>
          <w:ilvl w:val="1"/>
          <w:numId w:val="1"/>
        </w:numPr>
        <w:shd w:val="clear" w:color="auto" w:fill="FFFFFF"/>
        <w:tabs>
          <w:tab w:val="clear" w:pos="720"/>
          <w:tab w:val="num" w:pos="360"/>
        </w:tabs>
        <w:spacing w:line="207" w:lineRule="atLeast"/>
        <w:ind w:left="426"/>
        <w:jc w:val="both"/>
      </w:pPr>
      <w:r w:rsidRPr="00976B92">
        <w:rPr>
          <w:lang w:val="uk-UA"/>
        </w:rPr>
        <w:t>Фінансово-економічному відділу</w:t>
      </w:r>
      <w:r w:rsidRPr="00976B92">
        <w:t xml:space="preserve">  при формуванні бюджету на поточний рік передбачити кошти на фінансування заходів вищезазначеної Програми.</w:t>
      </w:r>
    </w:p>
    <w:p w:rsidR="00C475B3" w:rsidRPr="00976B92" w:rsidRDefault="00C475B3" w:rsidP="00C475B3">
      <w:pPr>
        <w:pStyle w:val="a3"/>
        <w:numPr>
          <w:ilvl w:val="1"/>
          <w:numId w:val="1"/>
        </w:numPr>
        <w:shd w:val="clear" w:color="auto" w:fill="FFFFFF"/>
        <w:tabs>
          <w:tab w:val="clear" w:pos="720"/>
          <w:tab w:val="num" w:pos="360"/>
        </w:tabs>
        <w:spacing w:line="183" w:lineRule="atLeast"/>
        <w:ind w:left="426"/>
        <w:jc w:val="both"/>
      </w:pPr>
      <w:r w:rsidRPr="00976B92">
        <w:t xml:space="preserve">Контроль за виконанням даного рішення покласти на постійну комісію з питань </w:t>
      </w:r>
      <w:r w:rsidRPr="00976B92">
        <w:rPr>
          <w:bCs/>
        </w:rPr>
        <w:t xml:space="preserve">планування фінансів, бюджету </w:t>
      </w:r>
      <w:r w:rsidRPr="00976B92">
        <w:rPr>
          <w:bCs/>
          <w:lang w:val="uk-UA"/>
        </w:rPr>
        <w:t xml:space="preserve">та </w:t>
      </w:r>
      <w:r w:rsidRPr="00976B92">
        <w:rPr>
          <w:bCs/>
        </w:rPr>
        <w:t>соціально економічного</w:t>
      </w:r>
      <w:r w:rsidRPr="00976B92">
        <w:rPr>
          <w:bCs/>
          <w:lang w:val="uk-UA"/>
        </w:rPr>
        <w:t xml:space="preserve"> </w:t>
      </w:r>
      <w:r w:rsidRPr="00976B92">
        <w:rPr>
          <w:bCs/>
        </w:rPr>
        <w:t>розвитку</w:t>
      </w:r>
      <w:r w:rsidRPr="00976B92">
        <w:rPr>
          <w:bCs/>
          <w:lang w:val="uk-UA"/>
        </w:rPr>
        <w:t>, інвестицій та міжнародного співробітництва</w:t>
      </w:r>
      <w:r w:rsidRPr="00976B92">
        <w:rPr>
          <w:lang w:val="uk-UA"/>
        </w:rPr>
        <w:t>.</w:t>
      </w:r>
    </w:p>
    <w:p w:rsidR="00C475B3" w:rsidRPr="00976B92" w:rsidRDefault="00C475B3" w:rsidP="00C475B3">
      <w:pPr>
        <w:pStyle w:val="a9"/>
        <w:shd w:val="clear" w:color="auto" w:fill="FFFFFF"/>
        <w:spacing w:before="142" w:beforeAutospacing="0" w:after="142" w:afterAutospacing="0" w:line="183" w:lineRule="atLeast"/>
        <w:rPr>
          <w:sz w:val="12"/>
          <w:szCs w:val="12"/>
          <w:lang w:val="uk-UA"/>
        </w:rPr>
      </w:pPr>
      <w:r w:rsidRPr="00976B92">
        <w:rPr>
          <w:sz w:val="12"/>
          <w:szCs w:val="12"/>
        </w:rPr>
        <w:t> </w:t>
      </w:r>
    </w:p>
    <w:p w:rsidR="00C475B3" w:rsidRPr="00976B92" w:rsidRDefault="00C475B3" w:rsidP="00C475B3">
      <w:pPr>
        <w:shd w:val="clear" w:color="auto" w:fill="FFFFFF"/>
        <w:spacing w:line="207" w:lineRule="atLeast"/>
        <w:ind w:firstLine="708"/>
        <w:jc w:val="both"/>
      </w:pPr>
      <w:r w:rsidRPr="00976B92">
        <w:t xml:space="preserve">Сільський голова </w:t>
      </w:r>
      <w:r w:rsidRPr="00976B92">
        <w:tab/>
      </w:r>
      <w:r w:rsidRPr="00976B92">
        <w:tab/>
      </w:r>
      <w:r w:rsidRPr="00976B92">
        <w:tab/>
      </w:r>
      <w:r w:rsidRPr="00976B92">
        <w:tab/>
      </w:r>
      <w:r w:rsidRPr="00976B92">
        <w:tab/>
        <w:t>Михайленко В.М.</w:t>
      </w:r>
    </w:p>
    <w:p w:rsidR="00C475B3" w:rsidRPr="00976B92" w:rsidRDefault="00C475B3" w:rsidP="00C475B3">
      <w:pPr>
        <w:shd w:val="clear" w:color="auto" w:fill="FFFFFF"/>
        <w:spacing w:line="207" w:lineRule="atLeast"/>
        <w:jc w:val="both"/>
      </w:pPr>
      <w:r w:rsidRPr="00976B92">
        <w:t> </w:t>
      </w: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spacing w:line="207" w:lineRule="atLeast"/>
        <w:jc w:val="both"/>
      </w:pPr>
    </w:p>
    <w:p w:rsidR="00C475B3" w:rsidRPr="00976B92"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p>
    <w:p w:rsidR="00C475B3" w:rsidRDefault="00C475B3" w:rsidP="00C475B3">
      <w:pPr>
        <w:shd w:val="clear" w:color="auto" w:fill="FFFFFF"/>
        <w:jc w:val="right"/>
        <w:rPr>
          <w:sz w:val="18"/>
          <w:szCs w:val="18"/>
        </w:rPr>
      </w:pPr>
    </w:p>
    <w:p w:rsidR="00C475B3" w:rsidRDefault="00C475B3" w:rsidP="00C475B3">
      <w:pPr>
        <w:shd w:val="clear" w:color="auto" w:fill="FFFFFF"/>
        <w:jc w:val="right"/>
        <w:rPr>
          <w:sz w:val="18"/>
          <w:szCs w:val="18"/>
        </w:rPr>
      </w:pPr>
    </w:p>
    <w:p w:rsidR="00C475B3"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r>
        <w:lastRenderedPageBreak/>
        <w:t>ПРОЄКТ</w:t>
      </w:r>
    </w:p>
    <w:p w:rsidR="00C475B3" w:rsidRPr="00976B92"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r w:rsidRPr="00976B92">
        <w:rPr>
          <w:sz w:val="18"/>
          <w:szCs w:val="18"/>
        </w:rPr>
        <w:t>Додаток</w:t>
      </w:r>
    </w:p>
    <w:p w:rsidR="00C475B3" w:rsidRPr="00976B92" w:rsidRDefault="00C475B3" w:rsidP="00C475B3">
      <w:pPr>
        <w:shd w:val="clear" w:color="auto" w:fill="FFFFFF"/>
        <w:jc w:val="right"/>
        <w:rPr>
          <w:sz w:val="18"/>
          <w:szCs w:val="18"/>
        </w:rPr>
      </w:pPr>
      <w:r w:rsidRPr="00976B92">
        <w:rPr>
          <w:sz w:val="18"/>
          <w:szCs w:val="18"/>
        </w:rPr>
        <w:t>                                                                           до рішення  №   2 сесії 8 скликання</w:t>
      </w:r>
    </w:p>
    <w:p w:rsidR="00C475B3" w:rsidRPr="00976B92" w:rsidRDefault="00C475B3" w:rsidP="00C475B3">
      <w:pPr>
        <w:shd w:val="clear" w:color="auto" w:fill="FFFFFF"/>
        <w:jc w:val="right"/>
        <w:rPr>
          <w:sz w:val="18"/>
          <w:szCs w:val="18"/>
        </w:rPr>
      </w:pPr>
      <w:r w:rsidRPr="00976B92">
        <w:rPr>
          <w:sz w:val="18"/>
          <w:szCs w:val="18"/>
        </w:rPr>
        <w:t>                                                                                     від 22.12.2020</w:t>
      </w:r>
    </w:p>
    <w:p w:rsidR="00C475B3" w:rsidRPr="00976B92" w:rsidRDefault="00C475B3" w:rsidP="00C475B3">
      <w:pPr>
        <w:shd w:val="clear" w:color="auto" w:fill="FFFFFF"/>
        <w:spacing w:line="244" w:lineRule="atLeast"/>
        <w:textAlignment w:val="baseline"/>
        <w:rPr>
          <w:sz w:val="16"/>
          <w:szCs w:val="16"/>
        </w:rPr>
      </w:pPr>
    </w:p>
    <w:p w:rsidR="00C475B3" w:rsidRPr="00976B92" w:rsidRDefault="00C475B3" w:rsidP="00C475B3">
      <w:pPr>
        <w:shd w:val="clear" w:color="auto" w:fill="FFFFFF"/>
        <w:spacing w:line="244" w:lineRule="atLeast"/>
        <w:jc w:val="center"/>
        <w:textAlignment w:val="baseline"/>
        <w:rPr>
          <w:b/>
        </w:rPr>
      </w:pPr>
      <w:r w:rsidRPr="00976B92">
        <w:rPr>
          <w:b/>
        </w:rPr>
        <w:t xml:space="preserve">Програма розвитку освіти на території </w:t>
      </w:r>
      <w:proofErr w:type="spellStart"/>
      <w:r w:rsidRPr="00976B92">
        <w:rPr>
          <w:b/>
        </w:rPr>
        <w:t>Райгородської</w:t>
      </w:r>
      <w:proofErr w:type="spellEnd"/>
      <w:r w:rsidRPr="00976B92">
        <w:rPr>
          <w:b/>
        </w:rPr>
        <w:t xml:space="preserve"> сільської ради </w:t>
      </w:r>
    </w:p>
    <w:p w:rsidR="00C475B3" w:rsidRPr="00976B92" w:rsidRDefault="00C475B3" w:rsidP="00C475B3">
      <w:pPr>
        <w:shd w:val="clear" w:color="auto" w:fill="FFFFFF"/>
        <w:spacing w:line="244" w:lineRule="atLeast"/>
        <w:jc w:val="center"/>
        <w:textAlignment w:val="baseline"/>
        <w:rPr>
          <w:b/>
        </w:rPr>
      </w:pPr>
      <w:r w:rsidRPr="00976B92">
        <w:rPr>
          <w:b/>
        </w:rPr>
        <w:t>на  2021  рік  (далі — Програма).</w:t>
      </w:r>
    </w:p>
    <w:p w:rsidR="00C475B3" w:rsidRPr="00976B92" w:rsidRDefault="00C475B3" w:rsidP="00C475B3">
      <w:pPr>
        <w:shd w:val="clear" w:color="auto" w:fill="FFFFFF"/>
        <w:spacing w:line="244" w:lineRule="atLeast"/>
        <w:textAlignment w:val="baseline"/>
      </w:pPr>
      <w:r w:rsidRPr="00976B92">
        <w:rPr>
          <w:b/>
          <w:bCs/>
        </w:rPr>
        <w:t> </w:t>
      </w:r>
    </w:p>
    <w:p w:rsidR="00C475B3" w:rsidRPr="00976B92" w:rsidRDefault="00C475B3" w:rsidP="00C475B3">
      <w:pPr>
        <w:shd w:val="clear" w:color="auto" w:fill="FFFFFF"/>
        <w:spacing w:line="244" w:lineRule="atLeast"/>
        <w:textAlignment w:val="baseline"/>
      </w:pPr>
      <w:r w:rsidRPr="00976B92">
        <w:rPr>
          <w:b/>
          <w:bCs/>
        </w:rPr>
        <w:t>Підстава для розробки Програми</w:t>
      </w:r>
    </w:p>
    <w:p w:rsidR="00C475B3" w:rsidRPr="00976B92" w:rsidRDefault="00C475B3" w:rsidP="00C475B3">
      <w:pPr>
        <w:pStyle w:val="a3"/>
        <w:numPr>
          <w:ilvl w:val="0"/>
          <w:numId w:val="2"/>
        </w:numPr>
        <w:shd w:val="clear" w:color="auto" w:fill="FFFFFF"/>
        <w:spacing w:line="244" w:lineRule="atLeast"/>
        <w:jc w:val="both"/>
        <w:textAlignment w:val="baseline"/>
      </w:pPr>
      <w:r w:rsidRPr="00976B92">
        <w:t>Закон України «Про освіту»;</w:t>
      </w:r>
    </w:p>
    <w:p w:rsidR="00C475B3" w:rsidRPr="00976B92" w:rsidRDefault="00C475B3" w:rsidP="00C475B3">
      <w:pPr>
        <w:pStyle w:val="a3"/>
        <w:numPr>
          <w:ilvl w:val="0"/>
          <w:numId w:val="2"/>
        </w:numPr>
        <w:shd w:val="clear" w:color="auto" w:fill="FFFFFF"/>
        <w:spacing w:line="244" w:lineRule="atLeast"/>
        <w:jc w:val="both"/>
        <w:textAlignment w:val="baseline"/>
      </w:pPr>
      <w:r w:rsidRPr="00976B92">
        <w:t>Закон України «Про загальну середню освіту»;</w:t>
      </w:r>
    </w:p>
    <w:p w:rsidR="00C475B3" w:rsidRPr="00976B92" w:rsidRDefault="00C475B3" w:rsidP="00C475B3">
      <w:pPr>
        <w:pStyle w:val="a3"/>
        <w:numPr>
          <w:ilvl w:val="0"/>
          <w:numId w:val="2"/>
        </w:numPr>
        <w:shd w:val="clear" w:color="auto" w:fill="FFFFFF"/>
        <w:spacing w:line="244" w:lineRule="atLeast"/>
        <w:jc w:val="both"/>
        <w:textAlignment w:val="baseline"/>
      </w:pPr>
      <w:r w:rsidRPr="00976B92">
        <w:t>ст. 26, 59 Закону України «Про місцеве самоврядування»</w:t>
      </w:r>
    </w:p>
    <w:p w:rsidR="00C475B3" w:rsidRPr="00976B92" w:rsidRDefault="00C475B3" w:rsidP="00C475B3">
      <w:pPr>
        <w:pStyle w:val="a3"/>
        <w:numPr>
          <w:ilvl w:val="0"/>
          <w:numId w:val="2"/>
        </w:numPr>
        <w:shd w:val="clear" w:color="auto" w:fill="FFFFFF"/>
        <w:spacing w:line="244" w:lineRule="atLeast"/>
        <w:jc w:val="both"/>
        <w:textAlignment w:val="baseline"/>
      </w:pPr>
      <w:r w:rsidRPr="00976B92">
        <w:t>Указ Президента України № 1013 від 4 липня 2005 року «Про невідкладні заходи щодо забезпечення функціонування та розвитку освіти в Україні»</w:t>
      </w:r>
      <w:r w:rsidRPr="00976B92">
        <w:rPr>
          <w:b/>
          <w:bCs/>
        </w:rPr>
        <w:t> </w:t>
      </w:r>
    </w:p>
    <w:p w:rsidR="00C475B3" w:rsidRPr="00976B92" w:rsidRDefault="00C475B3" w:rsidP="00C475B3">
      <w:pPr>
        <w:shd w:val="clear" w:color="auto" w:fill="FFFFFF"/>
        <w:spacing w:line="244" w:lineRule="atLeast"/>
        <w:jc w:val="both"/>
        <w:textAlignment w:val="baseline"/>
        <w:rPr>
          <w:b/>
          <w:bCs/>
        </w:rPr>
      </w:pPr>
    </w:p>
    <w:p w:rsidR="00C475B3" w:rsidRPr="00976B92" w:rsidRDefault="00C475B3" w:rsidP="00C475B3">
      <w:pPr>
        <w:shd w:val="clear" w:color="auto" w:fill="FFFFFF"/>
        <w:spacing w:line="244" w:lineRule="atLeast"/>
        <w:textAlignment w:val="baseline"/>
      </w:pPr>
      <w:r w:rsidRPr="00976B92">
        <w:rPr>
          <w:b/>
          <w:bCs/>
        </w:rPr>
        <w:t>Мета Програми:</w:t>
      </w:r>
    </w:p>
    <w:p w:rsidR="00C475B3" w:rsidRPr="00976B92" w:rsidRDefault="00C475B3" w:rsidP="00C475B3">
      <w:pPr>
        <w:shd w:val="clear" w:color="auto" w:fill="FFFFFF"/>
        <w:spacing w:line="244" w:lineRule="atLeast"/>
        <w:jc w:val="both"/>
        <w:textAlignment w:val="baseline"/>
      </w:pPr>
      <w:r w:rsidRPr="00976B92">
        <w:rPr>
          <w:i/>
          <w:iCs/>
        </w:rPr>
        <w:t>Метою Програми є</w:t>
      </w:r>
      <w:r w:rsidRPr="00976B92">
        <w:t xml:space="preserve"> подальший розвиток системи розвитку загальної середньої освіти; забезпечення економічних і соціальних гарантій самореалізації особистості; підтримки та стимулювання </w:t>
      </w:r>
      <w:proofErr w:type="spellStart"/>
      <w:r w:rsidRPr="00976B92">
        <w:t>інтелектуально</w:t>
      </w:r>
      <w:proofErr w:type="spellEnd"/>
      <w:r w:rsidRPr="00976B92">
        <w:t xml:space="preserve"> і творчо обдарованих школярів. Поліпшення матеріальної бази та умов навчання в навчальних закладах на території </w:t>
      </w:r>
      <w:proofErr w:type="spellStart"/>
      <w:r w:rsidRPr="00976B92">
        <w:t>Райгородської</w:t>
      </w:r>
      <w:proofErr w:type="spellEnd"/>
      <w:r w:rsidRPr="00976B92">
        <w:t xml:space="preserve"> сільської ради.</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Основними завданнями Програми є</w:t>
      </w:r>
      <w:r w:rsidRPr="00976B92">
        <w:rPr>
          <w:i/>
          <w:iCs/>
        </w:rPr>
        <w:t>:</w:t>
      </w:r>
    </w:p>
    <w:p w:rsidR="00C475B3" w:rsidRPr="00976B92" w:rsidRDefault="00C475B3" w:rsidP="00C475B3">
      <w:pPr>
        <w:pStyle w:val="a3"/>
        <w:numPr>
          <w:ilvl w:val="0"/>
          <w:numId w:val="3"/>
        </w:numPr>
        <w:shd w:val="clear" w:color="auto" w:fill="FFFFFF"/>
        <w:spacing w:line="244" w:lineRule="atLeast"/>
        <w:jc w:val="both"/>
        <w:textAlignment w:val="baseline"/>
      </w:pPr>
      <w:r w:rsidRPr="00976B92">
        <w:t xml:space="preserve">забезпечення сприятливих умов для творчого, інтелектуального, духовного і фізичного розвитку шкільної молоді </w:t>
      </w:r>
      <w:r w:rsidRPr="00976B92">
        <w:rPr>
          <w:lang w:val="uk-UA"/>
        </w:rPr>
        <w:t>на території ради</w:t>
      </w:r>
      <w:r w:rsidRPr="00976B92">
        <w:t>;</w:t>
      </w:r>
    </w:p>
    <w:p w:rsidR="00C475B3" w:rsidRPr="00976B92" w:rsidRDefault="00C475B3" w:rsidP="00C475B3">
      <w:pPr>
        <w:pStyle w:val="a3"/>
        <w:numPr>
          <w:ilvl w:val="0"/>
          <w:numId w:val="3"/>
        </w:numPr>
        <w:shd w:val="clear" w:color="auto" w:fill="FFFFFF"/>
        <w:spacing w:line="244" w:lineRule="atLeast"/>
        <w:jc w:val="both"/>
        <w:textAlignment w:val="baseline"/>
      </w:pPr>
      <w:r w:rsidRPr="00976B92">
        <w:t>залучення школярів до здобуття основної та позашкільної освіти з метою задоволення потреби у професійному самовизначенні та творчій самореалізації;</w:t>
      </w:r>
    </w:p>
    <w:p w:rsidR="00C475B3" w:rsidRPr="00976B92" w:rsidRDefault="00C475B3" w:rsidP="00C475B3">
      <w:pPr>
        <w:pStyle w:val="a3"/>
        <w:numPr>
          <w:ilvl w:val="0"/>
          <w:numId w:val="3"/>
        </w:numPr>
        <w:shd w:val="clear" w:color="auto" w:fill="FFFFFF"/>
        <w:spacing w:line="244" w:lineRule="atLeast"/>
        <w:jc w:val="both"/>
        <w:textAlignment w:val="baseline"/>
      </w:pPr>
      <w:r w:rsidRPr="00976B92">
        <w:t xml:space="preserve">координація діяльності органів місцевого самоврядування, навчальних закладів, громадських організацій з питань розвитку та підтримки загальної середньої освіти на території </w:t>
      </w:r>
      <w:proofErr w:type="spellStart"/>
      <w:r w:rsidRPr="00976B92">
        <w:rPr>
          <w:lang w:val="uk-UA"/>
        </w:rPr>
        <w:t>Райгородської</w:t>
      </w:r>
      <w:proofErr w:type="spellEnd"/>
      <w:r w:rsidRPr="00976B92">
        <w:rPr>
          <w:lang w:val="uk-UA"/>
        </w:rPr>
        <w:t xml:space="preserve"> сільської </w:t>
      </w:r>
      <w:r w:rsidRPr="00976B92">
        <w:t>ради;</w:t>
      </w:r>
    </w:p>
    <w:p w:rsidR="00C475B3" w:rsidRPr="00976B92" w:rsidRDefault="00C475B3" w:rsidP="00C475B3">
      <w:pPr>
        <w:pStyle w:val="a3"/>
        <w:numPr>
          <w:ilvl w:val="0"/>
          <w:numId w:val="3"/>
        </w:numPr>
        <w:shd w:val="clear" w:color="auto" w:fill="FFFFFF"/>
        <w:spacing w:line="244" w:lineRule="atLeast"/>
        <w:jc w:val="both"/>
        <w:textAlignment w:val="baseline"/>
      </w:pPr>
      <w:r w:rsidRPr="00976B92">
        <w:t>створення сприятливих умов для навчання, нових напрямків роботи, матеріального та методичного забезпечення шк</w:t>
      </w:r>
      <w:r w:rsidRPr="00976B92">
        <w:rPr>
          <w:lang w:val="uk-UA"/>
        </w:rPr>
        <w:t>іл</w:t>
      </w:r>
      <w:r w:rsidRPr="00976B92">
        <w:t>.</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Терміни реалізації</w:t>
      </w:r>
    </w:p>
    <w:p w:rsidR="00C475B3" w:rsidRPr="00976B92" w:rsidRDefault="00C475B3" w:rsidP="00C475B3">
      <w:pPr>
        <w:shd w:val="clear" w:color="auto" w:fill="FFFFFF"/>
        <w:spacing w:line="244" w:lineRule="atLeast"/>
        <w:textAlignment w:val="baseline"/>
      </w:pPr>
      <w:r w:rsidRPr="00976B92">
        <w:t>Програма реалізовується протягом  2021  року.</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Джерела фінансування Програми</w:t>
      </w:r>
    </w:p>
    <w:p w:rsidR="00C475B3" w:rsidRPr="00976B92" w:rsidRDefault="00C475B3" w:rsidP="00C475B3">
      <w:pPr>
        <w:shd w:val="clear" w:color="auto" w:fill="FFFFFF"/>
        <w:spacing w:line="244" w:lineRule="atLeast"/>
        <w:textAlignment w:val="baseline"/>
      </w:pPr>
      <w:r w:rsidRPr="00976B92">
        <w:t xml:space="preserve">Місцевий бюджет – кошти вільного залишку, перевиконання дохідної частини селищного бюджету, субвенції за рахунок залишку коштів освітньої субвенції з державного бюджету місцевим бюджетам, що утворився на початок бюджетного періоду. </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Обсяги фінансування</w:t>
      </w:r>
    </w:p>
    <w:p w:rsidR="00C475B3" w:rsidRPr="00976B92" w:rsidRDefault="00C475B3" w:rsidP="00C475B3">
      <w:pPr>
        <w:shd w:val="clear" w:color="auto" w:fill="FFFFFF"/>
        <w:spacing w:line="244" w:lineRule="atLeast"/>
        <w:textAlignment w:val="baseline"/>
      </w:pPr>
      <w:r w:rsidRPr="00976B92">
        <w:t xml:space="preserve">Розмір коштів розглядається у встановленому чинним законодавством порядку. </w:t>
      </w:r>
    </w:p>
    <w:p w:rsidR="00C475B3" w:rsidRPr="00976B92" w:rsidRDefault="00C475B3" w:rsidP="00C475B3">
      <w:pPr>
        <w:pStyle w:val="a9"/>
        <w:shd w:val="clear" w:color="auto" w:fill="FFFFFF"/>
        <w:spacing w:before="20" w:beforeAutospacing="0" w:after="0" w:afterAutospacing="0"/>
        <w:ind w:left="207"/>
        <w:jc w:val="both"/>
        <w:rPr>
          <w:rStyle w:val="submenu-table"/>
          <w:bCs/>
          <w:lang w:val="uk-UA"/>
        </w:rPr>
      </w:pPr>
      <w:r w:rsidRPr="00976B92">
        <w:rPr>
          <w:lang w:val="uk-UA"/>
        </w:rPr>
        <w:t>Фінансування Програми становить ___________ грн., в тому числі видатки загального фонду</w:t>
      </w:r>
      <w:r w:rsidRPr="00976B92">
        <w:rPr>
          <w:rStyle w:val="submenu-table"/>
          <w:bCs/>
          <w:lang w:val="uk-UA"/>
        </w:rPr>
        <w:t xml:space="preserve">  </w:t>
      </w:r>
      <w:r w:rsidRPr="00976B92">
        <w:rPr>
          <w:lang w:val="uk-UA"/>
        </w:rPr>
        <w:t xml:space="preserve">____________ </w:t>
      </w:r>
      <w:r w:rsidRPr="00976B92">
        <w:rPr>
          <w:rStyle w:val="submenu-table"/>
          <w:bCs/>
          <w:lang w:val="uk-UA"/>
        </w:rPr>
        <w:t xml:space="preserve">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Очікувані  результати реалізації Програми</w:t>
      </w:r>
    </w:p>
    <w:p w:rsidR="00C475B3" w:rsidRPr="00976B92" w:rsidRDefault="00C475B3" w:rsidP="00C475B3">
      <w:pPr>
        <w:pStyle w:val="a3"/>
        <w:numPr>
          <w:ilvl w:val="0"/>
          <w:numId w:val="4"/>
        </w:numPr>
        <w:shd w:val="clear" w:color="auto" w:fill="FFFFFF"/>
        <w:spacing w:line="244" w:lineRule="atLeast"/>
        <w:textAlignment w:val="baseline"/>
      </w:pPr>
      <w:r w:rsidRPr="00976B92">
        <w:t>подальший розвиток системи освіти;</w:t>
      </w:r>
    </w:p>
    <w:p w:rsidR="00C475B3" w:rsidRPr="00976B92" w:rsidRDefault="00C475B3" w:rsidP="00C475B3">
      <w:pPr>
        <w:pStyle w:val="a3"/>
        <w:numPr>
          <w:ilvl w:val="0"/>
          <w:numId w:val="4"/>
        </w:numPr>
        <w:shd w:val="clear" w:color="auto" w:fill="FFFFFF"/>
        <w:spacing w:line="244" w:lineRule="atLeast"/>
        <w:textAlignment w:val="baseline"/>
      </w:pPr>
      <w:r w:rsidRPr="00976B92">
        <w:t>впровадження сучасних педагогічних технологій навчання і виховання обдарованої молоді;</w:t>
      </w:r>
    </w:p>
    <w:p w:rsidR="00C475B3" w:rsidRPr="00976B92" w:rsidRDefault="00C475B3" w:rsidP="00C475B3">
      <w:pPr>
        <w:pStyle w:val="a3"/>
        <w:numPr>
          <w:ilvl w:val="0"/>
          <w:numId w:val="4"/>
        </w:numPr>
        <w:shd w:val="clear" w:color="auto" w:fill="FFFFFF"/>
        <w:spacing w:line="244" w:lineRule="atLeast"/>
        <w:textAlignment w:val="baseline"/>
      </w:pPr>
      <w:r w:rsidRPr="00976B92">
        <w:t>збагачення освіти шкіл інноваційними технологіями навчання;</w:t>
      </w:r>
    </w:p>
    <w:p w:rsidR="00C475B3" w:rsidRPr="00976B92" w:rsidRDefault="00C475B3" w:rsidP="00C475B3">
      <w:pPr>
        <w:pStyle w:val="a3"/>
        <w:numPr>
          <w:ilvl w:val="0"/>
          <w:numId w:val="4"/>
        </w:numPr>
        <w:shd w:val="clear" w:color="auto" w:fill="FFFFFF"/>
        <w:spacing w:line="244" w:lineRule="atLeast"/>
        <w:textAlignment w:val="baseline"/>
      </w:pPr>
      <w:r w:rsidRPr="00976B92">
        <w:rPr>
          <w:lang w:val="uk-UA"/>
        </w:rPr>
        <w:t>п</w:t>
      </w:r>
      <w:proofErr w:type="spellStart"/>
      <w:r w:rsidRPr="00976B92">
        <w:t>оліпшення</w:t>
      </w:r>
      <w:proofErr w:type="spellEnd"/>
      <w:r w:rsidRPr="00976B92">
        <w:t xml:space="preserve"> матеріально</w:t>
      </w:r>
      <w:r w:rsidRPr="00976B92">
        <w:rPr>
          <w:lang w:val="uk-UA"/>
        </w:rPr>
        <w:t xml:space="preserve"> </w:t>
      </w:r>
      <w:r w:rsidRPr="00976B92">
        <w:t xml:space="preserve">- </w:t>
      </w:r>
      <w:proofErr w:type="spellStart"/>
      <w:r w:rsidRPr="00976B92">
        <w:t>техничного</w:t>
      </w:r>
      <w:proofErr w:type="spellEnd"/>
      <w:r w:rsidRPr="00976B92">
        <w:t xml:space="preserve"> стану </w:t>
      </w:r>
      <w:r w:rsidRPr="00976B92">
        <w:rPr>
          <w:lang w:val="uk-UA"/>
        </w:rPr>
        <w:t>шкіл на території селищної ради</w:t>
      </w:r>
      <w:r w:rsidRPr="00976B92">
        <w:t>, та покращення умов роботи  і навчання.</w:t>
      </w:r>
    </w:p>
    <w:p w:rsidR="00C475B3" w:rsidRPr="00976B92" w:rsidRDefault="00C475B3" w:rsidP="00C475B3">
      <w:pPr>
        <w:shd w:val="clear" w:color="auto" w:fill="FFFFFF"/>
        <w:spacing w:line="244" w:lineRule="atLeast"/>
        <w:textAlignment w:val="baseline"/>
        <w:rPr>
          <w:b/>
          <w:bCs/>
        </w:rPr>
      </w:pPr>
      <w:r w:rsidRPr="00976B92">
        <w:t> </w:t>
      </w:r>
    </w:p>
    <w:p w:rsidR="00C475B3" w:rsidRPr="00976B92" w:rsidRDefault="00C475B3" w:rsidP="00C475B3">
      <w:pPr>
        <w:shd w:val="clear" w:color="auto" w:fill="FFFFFF"/>
        <w:spacing w:line="244" w:lineRule="atLeast"/>
        <w:textAlignment w:val="baseline"/>
      </w:pPr>
      <w:r w:rsidRPr="00976B92">
        <w:rPr>
          <w:b/>
          <w:bCs/>
        </w:rPr>
        <w:lastRenderedPageBreak/>
        <w:t>Коротка характеристика</w:t>
      </w:r>
    </w:p>
    <w:p w:rsidR="00C475B3" w:rsidRPr="00976B92" w:rsidRDefault="00C475B3" w:rsidP="00C475B3">
      <w:pPr>
        <w:shd w:val="clear" w:color="auto" w:fill="FFFFFF"/>
        <w:spacing w:line="244" w:lineRule="atLeast"/>
        <w:jc w:val="both"/>
        <w:textAlignment w:val="baseline"/>
      </w:pPr>
      <w:r w:rsidRPr="00976B92">
        <w:t xml:space="preserve">Одним з найважливіших напрямів соціальної політики на території </w:t>
      </w:r>
      <w:proofErr w:type="spellStart"/>
      <w:r w:rsidRPr="00976B92">
        <w:t>Райгородської</w:t>
      </w:r>
      <w:proofErr w:type="spellEnd"/>
      <w:r w:rsidRPr="00976B92">
        <w:t xml:space="preserve"> сільської ради є формування і розвиток оптимальних умов для  навчання, виховання та діяльності  дітей та молоді.</w:t>
      </w:r>
    </w:p>
    <w:p w:rsidR="00C475B3" w:rsidRPr="00976B92" w:rsidRDefault="00C475B3" w:rsidP="00C475B3">
      <w:pPr>
        <w:shd w:val="clear" w:color="auto" w:fill="FFFFFF"/>
        <w:spacing w:line="244" w:lineRule="atLeast"/>
        <w:ind w:firstLine="708"/>
        <w:jc w:val="both"/>
        <w:textAlignment w:val="baseline"/>
      </w:pPr>
      <w:r w:rsidRPr="00976B92">
        <w:t>Велика кількість дітей та молоді громади щорічно бере участь і є переможцями та призерами у районних, обласних олімпіадах, командних турнірах, конкурсах. Розвитку особистості, її вміння реалізовувати в практичній діяльності, набуті під час навчання.</w:t>
      </w:r>
    </w:p>
    <w:p w:rsidR="00C475B3" w:rsidRPr="00976B92" w:rsidRDefault="00C475B3" w:rsidP="00C475B3">
      <w:pPr>
        <w:shd w:val="clear" w:color="auto" w:fill="FFFFFF"/>
        <w:spacing w:line="244" w:lineRule="atLeast"/>
        <w:jc w:val="both"/>
        <w:textAlignment w:val="baseline"/>
      </w:pPr>
      <w:r w:rsidRPr="00976B92">
        <w:t>Разом з тим зберігається багато питань щодо забезпечення повноцінного розвитку  дітей та молоді, які потребують вирішення як на державному, так і на місцевому рівнях.</w:t>
      </w:r>
    </w:p>
    <w:p w:rsidR="00C475B3" w:rsidRPr="00976B92" w:rsidRDefault="00C475B3" w:rsidP="00C475B3">
      <w:pPr>
        <w:shd w:val="clear" w:color="auto" w:fill="FFFFFF"/>
        <w:spacing w:line="244" w:lineRule="atLeast"/>
        <w:ind w:firstLine="708"/>
        <w:jc w:val="both"/>
        <w:textAlignment w:val="baseline"/>
      </w:pPr>
      <w:r w:rsidRPr="00976B92">
        <w:t>Перелік запланованих до здійснення заходів передбачає вирішення конкретних завдань, взаємопов’язаних на усіх стадіях створення умов для виявлення, підтримки та розвитку учнівської молоді, включаючи організаційне, науково-методичне, інформаційне та інше забезпечення:</w:t>
      </w:r>
    </w:p>
    <w:p w:rsidR="00C475B3" w:rsidRPr="00976B92" w:rsidRDefault="00C475B3" w:rsidP="00C475B3">
      <w:pPr>
        <w:numPr>
          <w:ilvl w:val="0"/>
          <w:numId w:val="5"/>
        </w:numPr>
        <w:shd w:val="clear" w:color="auto" w:fill="FFFFFF"/>
        <w:spacing w:line="244" w:lineRule="atLeast"/>
        <w:textAlignment w:val="baseline"/>
      </w:pPr>
      <w:r w:rsidRPr="00976B92">
        <w:t>Дотримання теплового режиму в школах, на території громади (додаток № 2);</w:t>
      </w:r>
    </w:p>
    <w:p w:rsidR="00C475B3" w:rsidRPr="00976B92" w:rsidRDefault="00C475B3" w:rsidP="00C475B3">
      <w:pPr>
        <w:numPr>
          <w:ilvl w:val="0"/>
          <w:numId w:val="5"/>
        </w:numPr>
        <w:shd w:val="clear" w:color="auto" w:fill="FFFFFF"/>
        <w:spacing w:line="244" w:lineRule="atLeast"/>
        <w:textAlignment w:val="baseline"/>
      </w:pPr>
      <w:r w:rsidRPr="00976B92">
        <w:t>Надання інших субвенцій на придбання палива та для підвозу школярів (додаток № 3)</w:t>
      </w:r>
    </w:p>
    <w:p w:rsidR="00C475B3" w:rsidRPr="00976B92" w:rsidRDefault="00C475B3" w:rsidP="00C475B3">
      <w:pPr>
        <w:numPr>
          <w:ilvl w:val="0"/>
          <w:numId w:val="5"/>
        </w:numPr>
        <w:shd w:val="clear" w:color="auto" w:fill="FFFFFF"/>
        <w:spacing w:line="244" w:lineRule="atLeast"/>
        <w:textAlignment w:val="baseline"/>
      </w:pPr>
      <w:r w:rsidRPr="00976B92">
        <w:t>Придбання основних засобів та предметів довгострокового користування (додаток 4)</w:t>
      </w:r>
    </w:p>
    <w:p w:rsidR="00C475B3" w:rsidRPr="00976B92" w:rsidRDefault="00C475B3" w:rsidP="00C475B3">
      <w:pPr>
        <w:shd w:val="clear" w:color="auto" w:fill="FFFFFF"/>
        <w:spacing w:line="244" w:lineRule="atLeast"/>
        <w:ind w:firstLine="708"/>
        <w:jc w:val="both"/>
        <w:textAlignment w:val="baseline"/>
      </w:pPr>
      <w:r w:rsidRPr="00976B92">
        <w:t>Усі передбачені Програмою до здійснення заходи відповідають державній соціальній політиці і узгоджуються з основними положеннями Конвенції ООН про права дитини та іншими міжнародними документами.</w:t>
      </w:r>
    </w:p>
    <w:p w:rsidR="00C475B3" w:rsidRPr="00976B92" w:rsidRDefault="00C475B3" w:rsidP="00C475B3">
      <w:pPr>
        <w:shd w:val="clear" w:color="auto" w:fill="FFFFFF"/>
        <w:spacing w:line="244" w:lineRule="atLeast"/>
        <w:ind w:firstLine="708"/>
        <w:jc w:val="both"/>
        <w:textAlignment w:val="baseline"/>
      </w:pPr>
      <w:r w:rsidRPr="00976B92">
        <w:t>Освіченість дитини, її здібність до мислення, творчості, навчання розглядаються Програмою не тільки як винятковість, а як потенціал майбутнього нашої територіальної громади, нашої держави.</w:t>
      </w:r>
    </w:p>
    <w:p w:rsidR="00C475B3" w:rsidRPr="00976B92" w:rsidRDefault="00C475B3" w:rsidP="00C475B3">
      <w:pPr>
        <w:shd w:val="clear" w:color="auto" w:fill="FFFFFF"/>
        <w:spacing w:line="244" w:lineRule="atLeast"/>
        <w:ind w:firstLine="708"/>
        <w:jc w:val="both"/>
        <w:textAlignment w:val="baseline"/>
      </w:pPr>
      <w:r w:rsidRPr="00976B92">
        <w:t>Реалізація основних заходів, передбачених Програмою, дадуть можливість скоординувати дії закладу освіти, установ, громадських організацій, консолідувати зусилля всіх продуктивних сил громади, спрямувати їх на вирішення проблем виявлення, виховання, навчання і розвитку шкільної молоді з урахуванням вимог сучасного інформаційно-технологічного суспільства.</w:t>
      </w:r>
    </w:p>
    <w:p w:rsidR="00C475B3" w:rsidRPr="00976B92" w:rsidRDefault="00C475B3" w:rsidP="00C475B3">
      <w:pPr>
        <w:shd w:val="clear" w:color="auto" w:fill="FFFFFF"/>
        <w:spacing w:line="244" w:lineRule="atLeast"/>
        <w:ind w:firstLine="708"/>
        <w:jc w:val="both"/>
        <w:textAlignment w:val="baseline"/>
      </w:pPr>
      <w:r w:rsidRPr="00976B92">
        <w:t>Програмою передбачається зробити більш дієвими й механізми реалізації прав обдарованих дітей та молоді шляхом надання матеріальної та моральної підтримки.</w:t>
      </w:r>
    </w:p>
    <w:p w:rsidR="00C475B3" w:rsidRPr="00976B92" w:rsidRDefault="00C475B3" w:rsidP="00C475B3">
      <w:pPr>
        <w:shd w:val="clear" w:color="auto" w:fill="FFFFFF"/>
        <w:spacing w:line="244" w:lineRule="atLeast"/>
        <w:textAlignment w:val="baseline"/>
        <w:rPr>
          <w:b/>
          <w:bCs/>
        </w:rPr>
      </w:pPr>
    </w:p>
    <w:p w:rsidR="00C475B3" w:rsidRPr="00976B92" w:rsidRDefault="00C475B3" w:rsidP="00C475B3">
      <w:pPr>
        <w:shd w:val="clear" w:color="auto" w:fill="FFFFFF"/>
        <w:spacing w:line="244" w:lineRule="atLeast"/>
        <w:textAlignment w:val="baseline"/>
      </w:pPr>
      <w:r w:rsidRPr="00976B92">
        <w:rPr>
          <w:b/>
          <w:bCs/>
        </w:rPr>
        <w:t>Основні заходи Програми</w:t>
      </w:r>
    </w:p>
    <w:p w:rsidR="00C475B3" w:rsidRPr="00976B92" w:rsidRDefault="00C475B3" w:rsidP="00C475B3">
      <w:pPr>
        <w:shd w:val="clear" w:color="auto" w:fill="FFFFFF"/>
        <w:spacing w:line="244" w:lineRule="atLeast"/>
        <w:jc w:val="both"/>
        <w:textAlignment w:val="baseline"/>
      </w:pPr>
      <w:r w:rsidRPr="00976B92">
        <w:t xml:space="preserve">Планування заходів Програми здійснюється відповідно до основних показників та витрат на програмні заходи, оціночні показники та склад виконавців з наступним внесенням пропозицій до </w:t>
      </w:r>
      <w:proofErr w:type="spellStart"/>
      <w:r w:rsidRPr="00976B92">
        <w:t>Райгородської</w:t>
      </w:r>
      <w:proofErr w:type="spellEnd"/>
      <w:r w:rsidRPr="00976B92">
        <w:t xml:space="preserve"> сільської ради. </w:t>
      </w:r>
    </w:p>
    <w:p w:rsidR="00C475B3" w:rsidRPr="00976B92" w:rsidRDefault="00C475B3" w:rsidP="00C475B3">
      <w:pPr>
        <w:shd w:val="clear" w:color="auto" w:fill="FFFFFF"/>
        <w:spacing w:line="244" w:lineRule="atLeast"/>
        <w:textAlignment w:val="baseline"/>
      </w:pPr>
      <w:r w:rsidRPr="00976B92">
        <w:t> </w:t>
      </w:r>
    </w:p>
    <w:p w:rsidR="00C475B3" w:rsidRPr="00976B92" w:rsidRDefault="00C475B3" w:rsidP="00C475B3">
      <w:pPr>
        <w:shd w:val="clear" w:color="auto" w:fill="FFFFFF"/>
        <w:spacing w:line="244" w:lineRule="atLeast"/>
        <w:textAlignment w:val="baseline"/>
      </w:pPr>
      <w:r w:rsidRPr="00976B92">
        <w:t> </w:t>
      </w:r>
      <w:r w:rsidRPr="00976B92">
        <w:tab/>
      </w:r>
      <w:r w:rsidRPr="00976B92">
        <w:tab/>
        <w:t>Секретар сільської ради</w:t>
      </w:r>
      <w:r w:rsidRPr="00976B92">
        <w:tab/>
      </w:r>
      <w:r w:rsidRPr="00976B92">
        <w:tab/>
        <w:t>І.І. Менюк</w:t>
      </w: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textAlignment w:val="baseline"/>
      </w:pPr>
    </w:p>
    <w:p w:rsidR="00C475B3" w:rsidRDefault="00C475B3" w:rsidP="00C475B3">
      <w:pPr>
        <w:shd w:val="clear" w:color="auto" w:fill="FFFFFF"/>
        <w:spacing w:line="244" w:lineRule="atLeast"/>
        <w:textAlignment w:val="baseline"/>
      </w:pPr>
    </w:p>
    <w:p w:rsidR="00C475B3" w:rsidRDefault="00C475B3" w:rsidP="00C475B3">
      <w:pPr>
        <w:shd w:val="clear" w:color="auto" w:fill="FFFFFF"/>
        <w:spacing w:line="244" w:lineRule="atLeast"/>
        <w:textAlignment w:val="baseline"/>
      </w:pPr>
    </w:p>
    <w:p w:rsidR="00C475B3" w:rsidRDefault="00C475B3" w:rsidP="00C475B3">
      <w:pPr>
        <w:shd w:val="clear" w:color="auto" w:fill="FFFFFF"/>
        <w:spacing w:line="244" w:lineRule="atLeast"/>
        <w:textAlignment w:val="baseline"/>
      </w:pPr>
    </w:p>
    <w:p w:rsidR="00C475B3" w:rsidRPr="00976B92" w:rsidRDefault="00C475B3" w:rsidP="00C475B3">
      <w:pPr>
        <w:shd w:val="clear" w:color="auto" w:fill="FFFFFF"/>
        <w:spacing w:line="244" w:lineRule="atLeast"/>
        <w:ind w:left="7788" w:firstLine="708"/>
        <w:textAlignment w:val="baseline"/>
      </w:pPr>
      <w:bookmarkStart w:id="0" w:name="_GoBack"/>
      <w:bookmarkEnd w:id="0"/>
      <w:r>
        <w:lastRenderedPageBreak/>
        <w:t>ПРОЄКТ</w:t>
      </w:r>
    </w:p>
    <w:p w:rsidR="00C475B3" w:rsidRPr="00976B92" w:rsidRDefault="00C475B3" w:rsidP="00C475B3">
      <w:pPr>
        <w:shd w:val="clear" w:color="auto" w:fill="FFFFFF"/>
        <w:jc w:val="right"/>
        <w:rPr>
          <w:sz w:val="18"/>
          <w:szCs w:val="18"/>
        </w:rPr>
      </w:pPr>
    </w:p>
    <w:p w:rsidR="00C475B3" w:rsidRPr="00976B92" w:rsidRDefault="00C475B3" w:rsidP="00C475B3">
      <w:pPr>
        <w:shd w:val="clear" w:color="auto" w:fill="FFFFFF"/>
        <w:jc w:val="right"/>
        <w:rPr>
          <w:sz w:val="18"/>
          <w:szCs w:val="18"/>
        </w:rPr>
      </w:pPr>
      <w:r w:rsidRPr="00976B92">
        <w:rPr>
          <w:sz w:val="18"/>
          <w:szCs w:val="18"/>
        </w:rPr>
        <w:t>Додаток 2</w:t>
      </w:r>
    </w:p>
    <w:p w:rsidR="00C475B3" w:rsidRPr="00976B92" w:rsidRDefault="00C475B3" w:rsidP="00C475B3">
      <w:pPr>
        <w:shd w:val="clear" w:color="auto" w:fill="FFFFFF"/>
        <w:jc w:val="right"/>
        <w:rPr>
          <w:sz w:val="18"/>
          <w:szCs w:val="18"/>
        </w:rPr>
      </w:pPr>
      <w:r w:rsidRPr="00976B92">
        <w:rPr>
          <w:sz w:val="18"/>
          <w:szCs w:val="18"/>
        </w:rPr>
        <w:t>                                                                           до рішення  №   2 сесії 8 скликання</w:t>
      </w:r>
    </w:p>
    <w:p w:rsidR="00C475B3" w:rsidRPr="00976B92" w:rsidRDefault="00C475B3" w:rsidP="00C475B3">
      <w:pPr>
        <w:shd w:val="clear" w:color="auto" w:fill="FFFFFF"/>
        <w:jc w:val="right"/>
        <w:rPr>
          <w:sz w:val="18"/>
          <w:szCs w:val="18"/>
        </w:rPr>
      </w:pPr>
      <w:r w:rsidRPr="00976B92">
        <w:rPr>
          <w:sz w:val="18"/>
          <w:szCs w:val="18"/>
        </w:rPr>
        <w:t>                                                                                     від 22.12.2020</w:t>
      </w:r>
    </w:p>
    <w:p w:rsidR="00C475B3" w:rsidRPr="00976B92" w:rsidRDefault="00C475B3" w:rsidP="00C475B3">
      <w:pPr>
        <w:shd w:val="clear" w:color="auto" w:fill="FFFFFF"/>
        <w:spacing w:line="244" w:lineRule="atLeast"/>
        <w:textAlignment w:val="baseline"/>
      </w:pPr>
      <w:r w:rsidRPr="00976B92">
        <w:t>Видатки та  витрати  на  програмні  заходи на 2021рік.</w:t>
      </w:r>
    </w:p>
    <w:tbl>
      <w:tblPr>
        <w:tblW w:w="9599" w:type="dxa"/>
        <w:tblLook w:val="04A0" w:firstRow="1" w:lastRow="0" w:firstColumn="1" w:lastColumn="0" w:noHBand="0" w:noVBand="1"/>
      </w:tblPr>
      <w:tblGrid>
        <w:gridCol w:w="3704"/>
        <w:gridCol w:w="2348"/>
        <w:gridCol w:w="1965"/>
        <w:gridCol w:w="1582"/>
      </w:tblGrid>
      <w:tr w:rsidR="00C475B3" w:rsidRPr="00976B92" w:rsidTr="006851B4">
        <w:trPr>
          <w:trHeight w:val="483"/>
        </w:trPr>
        <w:tc>
          <w:tcPr>
            <w:tcW w:w="379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xml:space="preserve">Заходи по </w:t>
            </w:r>
            <w:proofErr w:type="spellStart"/>
            <w:r w:rsidRPr="00724D60">
              <w:rPr>
                <w:rFonts w:eastAsia="Times New Roman"/>
              </w:rPr>
              <w:t>теплосбереженню</w:t>
            </w:r>
            <w:proofErr w:type="spellEnd"/>
            <w:r w:rsidRPr="00724D60">
              <w:rPr>
                <w:rFonts w:eastAsia="Times New Roman"/>
              </w:rPr>
              <w:t xml:space="preserve"> та підтримки теплового режиму.</w:t>
            </w:r>
          </w:p>
        </w:tc>
        <w:tc>
          <w:tcPr>
            <w:tcW w:w="241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Кількість</w:t>
            </w:r>
          </w:p>
        </w:tc>
        <w:tc>
          <w:tcPr>
            <w:tcW w:w="198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Вартість  грн.</w:t>
            </w:r>
          </w:p>
        </w:tc>
        <w:tc>
          <w:tcPr>
            <w:tcW w:w="141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xml:space="preserve">     Сума,      грн.</w:t>
            </w:r>
          </w:p>
        </w:tc>
      </w:tr>
      <w:tr w:rsidR="00C475B3" w:rsidRPr="00976B92" w:rsidTr="006851B4">
        <w:tc>
          <w:tcPr>
            <w:tcW w:w="379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Поточний та капітальний ремонт приміщення</w:t>
            </w:r>
          </w:p>
        </w:tc>
        <w:tc>
          <w:tcPr>
            <w:tcW w:w="241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потребою</w:t>
            </w:r>
          </w:p>
        </w:tc>
        <w:tc>
          <w:tcPr>
            <w:tcW w:w="198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ціною</w:t>
            </w:r>
          </w:p>
        </w:tc>
        <w:tc>
          <w:tcPr>
            <w:tcW w:w="141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p>
        </w:tc>
      </w:tr>
      <w:tr w:rsidR="00C475B3" w:rsidRPr="00976B92" w:rsidTr="006851B4">
        <w:trPr>
          <w:trHeight w:val="158"/>
        </w:trPr>
        <w:tc>
          <w:tcPr>
            <w:tcW w:w="379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Придбання будівельних матеріалів</w:t>
            </w:r>
          </w:p>
        </w:tc>
        <w:tc>
          <w:tcPr>
            <w:tcW w:w="241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потребою</w:t>
            </w:r>
          </w:p>
        </w:tc>
        <w:tc>
          <w:tcPr>
            <w:tcW w:w="1984"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ціною</w:t>
            </w:r>
          </w:p>
        </w:tc>
        <w:tc>
          <w:tcPr>
            <w:tcW w:w="141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p>
        </w:tc>
      </w:tr>
    </w:tbl>
    <w:p w:rsidR="00C475B3" w:rsidRPr="00976B92" w:rsidRDefault="00C475B3" w:rsidP="00C475B3">
      <w:pPr>
        <w:shd w:val="clear" w:color="auto" w:fill="FFFFFF"/>
        <w:spacing w:line="244" w:lineRule="atLeast"/>
        <w:textAlignment w:val="baseline"/>
      </w:pPr>
      <w:r w:rsidRPr="00976B92">
        <w:t> </w:t>
      </w:r>
    </w:p>
    <w:p w:rsidR="00C475B3" w:rsidRPr="00976B92" w:rsidRDefault="00C475B3" w:rsidP="00C475B3">
      <w:pPr>
        <w:shd w:val="clear" w:color="auto" w:fill="FFFFFF"/>
        <w:jc w:val="right"/>
        <w:rPr>
          <w:sz w:val="18"/>
          <w:szCs w:val="18"/>
        </w:rPr>
      </w:pPr>
      <w:r w:rsidRPr="00976B92">
        <w:rPr>
          <w:sz w:val="18"/>
          <w:szCs w:val="18"/>
        </w:rPr>
        <w:t>Додаток 3</w:t>
      </w:r>
    </w:p>
    <w:p w:rsidR="00C475B3" w:rsidRPr="00976B92" w:rsidRDefault="00C475B3" w:rsidP="00C475B3">
      <w:pPr>
        <w:shd w:val="clear" w:color="auto" w:fill="FFFFFF"/>
        <w:jc w:val="right"/>
        <w:rPr>
          <w:sz w:val="18"/>
          <w:szCs w:val="18"/>
        </w:rPr>
      </w:pPr>
      <w:r w:rsidRPr="00976B92">
        <w:rPr>
          <w:sz w:val="18"/>
          <w:szCs w:val="18"/>
        </w:rPr>
        <w:t>                                                                           до рішення  №   2 сесії 8 скликання</w:t>
      </w:r>
    </w:p>
    <w:p w:rsidR="00C475B3" w:rsidRPr="00976B92" w:rsidRDefault="00C475B3" w:rsidP="00C475B3">
      <w:pPr>
        <w:shd w:val="clear" w:color="auto" w:fill="FFFFFF"/>
        <w:jc w:val="right"/>
        <w:rPr>
          <w:sz w:val="18"/>
          <w:szCs w:val="18"/>
        </w:rPr>
      </w:pPr>
      <w:r w:rsidRPr="00976B92">
        <w:rPr>
          <w:sz w:val="18"/>
          <w:szCs w:val="18"/>
        </w:rPr>
        <w:t>                                                                                     від 22.12.2020</w:t>
      </w:r>
    </w:p>
    <w:p w:rsidR="00C475B3" w:rsidRPr="00976B92" w:rsidRDefault="00C475B3" w:rsidP="00C475B3">
      <w:pPr>
        <w:shd w:val="clear" w:color="auto" w:fill="FFFFFF"/>
        <w:spacing w:line="244" w:lineRule="atLeast"/>
        <w:textAlignment w:val="baseline"/>
      </w:pPr>
      <w:r w:rsidRPr="00976B92">
        <w:t>Паливно – мастильні матеріали</w:t>
      </w:r>
    </w:p>
    <w:tbl>
      <w:tblPr>
        <w:tblW w:w="9599" w:type="dxa"/>
        <w:tblLook w:val="04A0" w:firstRow="1" w:lastRow="0" w:firstColumn="1" w:lastColumn="0" w:noHBand="0" w:noVBand="1"/>
      </w:tblPr>
      <w:tblGrid>
        <w:gridCol w:w="3369"/>
        <w:gridCol w:w="2551"/>
        <w:gridCol w:w="2119"/>
        <w:gridCol w:w="1560"/>
      </w:tblGrid>
      <w:tr w:rsidR="00C475B3" w:rsidRPr="00976B92" w:rsidTr="006851B4">
        <w:tc>
          <w:tcPr>
            <w:tcW w:w="336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Потреба палива по маркам та проведення обслуговування і ремонту  шкільного автобусу</w:t>
            </w:r>
          </w:p>
        </w:tc>
        <w:tc>
          <w:tcPr>
            <w:tcW w:w="255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кількість</w:t>
            </w:r>
          </w:p>
        </w:tc>
        <w:tc>
          <w:tcPr>
            <w:tcW w:w="211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вартість</w:t>
            </w:r>
          </w:p>
        </w:tc>
        <w:tc>
          <w:tcPr>
            <w:tcW w:w="156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Сума грн.</w:t>
            </w:r>
          </w:p>
        </w:tc>
      </w:tr>
      <w:tr w:rsidR="00C475B3" w:rsidRPr="00976B92" w:rsidTr="006851B4">
        <w:tc>
          <w:tcPr>
            <w:tcW w:w="336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Бензин А-92</w:t>
            </w:r>
          </w:p>
        </w:tc>
        <w:tc>
          <w:tcPr>
            <w:tcW w:w="255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потребою</w:t>
            </w:r>
          </w:p>
        </w:tc>
        <w:tc>
          <w:tcPr>
            <w:tcW w:w="211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ціною</w:t>
            </w:r>
          </w:p>
        </w:tc>
        <w:tc>
          <w:tcPr>
            <w:tcW w:w="156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90 000,00</w:t>
            </w:r>
          </w:p>
        </w:tc>
      </w:tr>
      <w:tr w:rsidR="00C475B3" w:rsidRPr="00976B92" w:rsidTr="006851B4">
        <w:tc>
          <w:tcPr>
            <w:tcW w:w="336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Обслуговування та ремонт шкільного автобусу</w:t>
            </w:r>
          </w:p>
        </w:tc>
        <w:tc>
          <w:tcPr>
            <w:tcW w:w="2551"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потребою</w:t>
            </w:r>
          </w:p>
        </w:tc>
        <w:tc>
          <w:tcPr>
            <w:tcW w:w="211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 наявною ціною</w:t>
            </w:r>
          </w:p>
        </w:tc>
        <w:tc>
          <w:tcPr>
            <w:tcW w:w="1560"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10 000,00</w:t>
            </w:r>
          </w:p>
        </w:tc>
      </w:tr>
    </w:tbl>
    <w:p w:rsidR="00C475B3" w:rsidRPr="00976B92" w:rsidRDefault="00C475B3" w:rsidP="00C475B3">
      <w:pPr>
        <w:shd w:val="clear" w:color="auto" w:fill="FFFFFF"/>
        <w:spacing w:line="244" w:lineRule="atLeast"/>
        <w:textAlignment w:val="baseline"/>
      </w:pPr>
    </w:p>
    <w:p w:rsidR="00C475B3" w:rsidRPr="00976B92" w:rsidRDefault="00C475B3" w:rsidP="00C475B3">
      <w:pPr>
        <w:shd w:val="clear" w:color="auto" w:fill="FFFFFF"/>
        <w:jc w:val="right"/>
        <w:rPr>
          <w:sz w:val="18"/>
          <w:szCs w:val="18"/>
        </w:rPr>
      </w:pPr>
      <w:r w:rsidRPr="00976B92">
        <w:rPr>
          <w:sz w:val="18"/>
          <w:szCs w:val="18"/>
        </w:rPr>
        <w:t>Додаток 4</w:t>
      </w:r>
    </w:p>
    <w:p w:rsidR="00C475B3" w:rsidRPr="00976B92" w:rsidRDefault="00C475B3" w:rsidP="00C475B3">
      <w:pPr>
        <w:shd w:val="clear" w:color="auto" w:fill="FFFFFF"/>
        <w:jc w:val="right"/>
        <w:rPr>
          <w:sz w:val="18"/>
          <w:szCs w:val="18"/>
        </w:rPr>
      </w:pPr>
      <w:r w:rsidRPr="00976B92">
        <w:rPr>
          <w:sz w:val="18"/>
          <w:szCs w:val="18"/>
        </w:rPr>
        <w:t>                                                                           до рішення  №   2 сесії 8 скликання</w:t>
      </w:r>
    </w:p>
    <w:p w:rsidR="00C475B3" w:rsidRPr="00976B92" w:rsidRDefault="00C475B3" w:rsidP="00C475B3">
      <w:pPr>
        <w:shd w:val="clear" w:color="auto" w:fill="FFFFFF"/>
        <w:jc w:val="right"/>
        <w:rPr>
          <w:sz w:val="18"/>
          <w:szCs w:val="18"/>
        </w:rPr>
      </w:pPr>
      <w:r w:rsidRPr="00976B92">
        <w:rPr>
          <w:sz w:val="18"/>
          <w:szCs w:val="18"/>
        </w:rPr>
        <w:t>                                                                                     від 22.12.2020</w:t>
      </w:r>
    </w:p>
    <w:p w:rsidR="00C475B3" w:rsidRPr="00976B92" w:rsidRDefault="00C475B3" w:rsidP="00C475B3">
      <w:pPr>
        <w:shd w:val="clear" w:color="auto" w:fill="FFFFFF"/>
        <w:spacing w:line="244" w:lineRule="atLeast"/>
        <w:textAlignment w:val="baseline"/>
      </w:pPr>
      <w:r w:rsidRPr="00976B92">
        <w:t>Забезпечення діяльності методичного кабінету</w:t>
      </w:r>
    </w:p>
    <w:tbl>
      <w:tblPr>
        <w:tblW w:w="7048" w:type="dxa"/>
        <w:tblLook w:val="04A0" w:firstRow="1" w:lastRow="0" w:firstColumn="1" w:lastColumn="0" w:noHBand="0" w:noVBand="1"/>
      </w:tblPr>
      <w:tblGrid>
        <w:gridCol w:w="3369"/>
        <w:gridCol w:w="3679"/>
      </w:tblGrid>
      <w:tr w:rsidR="00C475B3" w:rsidRPr="00976B92" w:rsidTr="006851B4">
        <w:tc>
          <w:tcPr>
            <w:tcW w:w="336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Забезпечення діяльності методичного кабінету</w:t>
            </w:r>
          </w:p>
        </w:tc>
        <w:tc>
          <w:tcPr>
            <w:tcW w:w="367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Сума грн.</w:t>
            </w:r>
          </w:p>
        </w:tc>
      </w:tr>
      <w:tr w:rsidR="00C475B3" w:rsidRPr="00976B92" w:rsidTr="006851B4">
        <w:tc>
          <w:tcPr>
            <w:tcW w:w="336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 Забезпечення діяльності методичного кабінету</w:t>
            </w:r>
          </w:p>
        </w:tc>
        <w:tc>
          <w:tcPr>
            <w:tcW w:w="3679" w:type="dxa"/>
            <w:shd w:val="clear" w:color="auto" w:fill="auto"/>
            <w:hideMark/>
          </w:tcPr>
          <w:p w:rsidR="00C475B3" w:rsidRPr="00724D60" w:rsidRDefault="00C475B3" w:rsidP="006851B4">
            <w:pPr>
              <w:spacing w:before="100" w:beforeAutospacing="1" w:after="100" w:afterAutospacing="1" w:line="244" w:lineRule="atLeast"/>
              <w:rPr>
                <w:rFonts w:eastAsia="Times New Roman"/>
              </w:rPr>
            </w:pPr>
            <w:r w:rsidRPr="00724D60">
              <w:rPr>
                <w:rFonts w:eastAsia="Times New Roman"/>
              </w:rPr>
              <w:t>60 048</w:t>
            </w:r>
          </w:p>
        </w:tc>
      </w:tr>
    </w:tbl>
    <w:p w:rsidR="00C475B3" w:rsidRPr="00976B92" w:rsidRDefault="00C475B3" w:rsidP="00C475B3">
      <w:pPr>
        <w:pStyle w:val="a9"/>
        <w:shd w:val="clear" w:color="auto" w:fill="FFFFFF"/>
        <w:spacing w:before="0" w:beforeAutospacing="0" w:after="120" w:afterAutospacing="0"/>
        <w:ind w:firstLine="709"/>
        <w:jc w:val="both"/>
        <w:rPr>
          <w:lang w:val="uk-UA"/>
        </w:rPr>
      </w:pPr>
    </w:p>
    <w:p w:rsidR="00C475B3" w:rsidRPr="00976B92" w:rsidRDefault="00C475B3" w:rsidP="00C475B3">
      <w:pPr>
        <w:pStyle w:val="a9"/>
        <w:shd w:val="clear" w:color="auto" w:fill="FFFFFF"/>
        <w:spacing w:before="0" w:beforeAutospacing="0" w:after="120" w:afterAutospacing="0"/>
        <w:ind w:firstLine="709"/>
        <w:jc w:val="both"/>
        <w:rPr>
          <w:lang w:val="uk-UA"/>
        </w:rPr>
      </w:pPr>
    </w:p>
    <w:p w:rsidR="00C475B3" w:rsidRPr="00976B92" w:rsidRDefault="00C475B3" w:rsidP="00C475B3">
      <w:pPr>
        <w:pStyle w:val="a9"/>
        <w:shd w:val="clear" w:color="auto" w:fill="FFFFFF"/>
        <w:spacing w:before="0" w:beforeAutospacing="0" w:after="120" w:afterAutospacing="0"/>
        <w:ind w:firstLine="709"/>
        <w:jc w:val="both"/>
        <w:rPr>
          <w:lang w:val="uk-UA"/>
        </w:rPr>
      </w:pPr>
      <w:r w:rsidRPr="00976B92">
        <w:rPr>
          <w:lang w:val="uk-UA"/>
        </w:rPr>
        <w:t>Секретар ради</w:t>
      </w:r>
      <w:r w:rsidRPr="00976B92">
        <w:rPr>
          <w:lang w:val="uk-UA"/>
        </w:rPr>
        <w:tab/>
      </w:r>
      <w:r w:rsidRPr="00976B92">
        <w:rPr>
          <w:lang w:val="uk-UA"/>
        </w:rPr>
        <w:tab/>
      </w:r>
      <w:r w:rsidRPr="00976B92">
        <w:rPr>
          <w:lang w:val="uk-UA"/>
        </w:rPr>
        <w:tab/>
      </w:r>
      <w:r w:rsidRPr="00976B92">
        <w:rPr>
          <w:lang w:val="uk-UA"/>
        </w:rPr>
        <w:tab/>
      </w:r>
      <w:proofErr w:type="spellStart"/>
      <w:r w:rsidRPr="00976B92">
        <w:rPr>
          <w:lang w:val="uk-UA"/>
        </w:rPr>
        <w:t>І.І.Менюк</w:t>
      </w:r>
      <w:proofErr w:type="spellEnd"/>
    </w:p>
    <w:p w:rsidR="00C475B3" w:rsidRPr="00976B92" w:rsidRDefault="00C475B3" w:rsidP="00C475B3">
      <w:pPr>
        <w:shd w:val="clear" w:color="auto" w:fill="FFFFFF"/>
        <w:spacing w:line="207" w:lineRule="atLeast"/>
        <w:jc w:val="both"/>
      </w:pPr>
    </w:p>
    <w:p w:rsidR="00C475B3" w:rsidRPr="00976B92" w:rsidRDefault="00C475B3" w:rsidP="00C475B3">
      <w:pPr>
        <w:pStyle w:val="a9"/>
        <w:shd w:val="clear" w:color="auto" w:fill="FFFFFF"/>
        <w:ind w:left="579" w:firstLine="708"/>
        <w:rPr>
          <w:lang w:val="uk-UA"/>
        </w:rPr>
      </w:pPr>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D4AD2"/>
    <w:multiLevelType w:val="hybridMultilevel"/>
    <w:tmpl w:val="396E8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36718A"/>
    <w:multiLevelType w:val="multilevel"/>
    <w:tmpl w:val="3A4028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B446EA"/>
    <w:multiLevelType w:val="multilevel"/>
    <w:tmpl w:val="B748EF8C"/>
    <w:lvl w:ilvl="0">
      <w:start w:val="1"/>
      <w:numFmt w:val="decimal"/>
      <w:lvlText w:val="%1."/>
      <w:lvlJc w:val="left"/>
      <w:pPr>
        <w:tabs>
          <w:tab w:val="num" w:pos="720"/>
        </w:tabs>
        <w:ind w:left="720" w:hanging="360"/>
      </w:pPr>
      <w:rPr>
        <w:rFonts w:hint="default"/>
        <w:b w:val="0"/>
      </w:rPr>
    </w:lvl>
    <w:lvl w:ilvl="1">
      <w:start w:val="1"/>
      <w:numFmt w:val="decimal"/>
      <w:isLgl/>
      <w:lvlText w:val="%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7DCF4DDD"/>
    <w:multiLevelType w:val="hybridMultilevel"/>
    <w:tmpl w:val="D6C25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F680F7E"/>
    <w:multiLevelType w:val="hybridMultilevel"/>
    <w:tmpl w:val="1B365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5B3"/>
    <w:rsid w:val="006A6A13"/>
    <w:rsid w:val="00C47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1897"/>
  <w15:chartTrackingRefBased/>
  <w15:docId w15:val="{41DE16C0-BBC8-4F40-A2CF-B8AB73CC4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75B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475B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475B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75B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475B3"/>
    <w:rPr>
      <w:rFonts w:ascii="Times New Roman" w:eastAsia="Times New Roman" w:hAnsi="Times New Roman" w:cs="Times New Roman"/>
      <w:b/>
      <w:szCs w:val="20"/>
      <w:lang w:eastAsia="ru-RU"/>
    </w:rPr>
  </w:style>
  <w:style w:type="paragraph" w:styleId="a3">
    <w:name w:val="List Paragraph"/>
    <w:basedOn w:val="a"/>
    <w:link w:val="a4"/>
    <w:uiPriority w:val="34"/>
    <w:qFormat/>
    <w:rsid w:val="00C475B3"/>
    <w:pPr>
      <w:ind w:left="720"/>
      <w:contextualSpacing/>
    </w:pPr>
    <w:rPr>
      <w:rFonts w:eastAsia="Times New Roman"/>
      <w:lang w:val="x-none" w:eastAsia="x-none"/>
    </w:rPr>
  </w:style>
  <w:style w:type="character" w:customStyle="1" w:styleId="a4">
    <w:name w:val="Абзац списку Знак"/>
    <w:link w:val="a3"/>
    <w:uiPriority w:val="34"/>
    <w:locked/>
    <w:rsid w:val="00C475B3"/>
    <w:rPr>
      <w:rFonts w:ascii="Times New Roman" w:eastAsia="Times New Roman" w:hAnsi="Times New Roman" w:cs="Times New Roman"/>
      <w:sz w:val="24"/>
      <w:szCs w:val="24"/>
      <w:lang w:val="x-none" w:eastAsia="x-none"/>
    </w:rPr>
  </w:style>
  <w:style w:type="paragraph" w:styleId="a5">
    <w:name w:val="Subtitle"/>
    <w:basedOn w:val="a"/>
    <w:link w:val="a6"/>
    <w:qFormat/>
    <w:rsid w:val="00C475B3"/>
    <w:pPr>
      <w:jc w:val="center"/>
    </w:pPr>
    <w:rPr>
      <w:rFonts w:eastAsia="Times New Roman"/>
      <w:b/>
      <w:sz w:val="20"/>
      <w:szCs w:val="20"/>
    </w:rPr>
  </w:style>
  <w:style w:type="character" w:customStyle="1" w:styleId="a6">
    <w:name w:val="Підзаголовок Знак"/>
    <w:basedOn w:val="a0"/>
    <w:link w:val="a5"/>
    <w:rsid w:val="00C475B3"/>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C475B3"/>
    <w:pPr>
      <w:jc w:val="center"/>
    </w:pPr>
    <w:rPr>
      <w:rFonts w:eastAsia="Times New Roman"/>
      <w:b/>
      <w:sz w:val="20"/>
      <w:szCs w:val="20"/>
    </w:rPr>
  </w:style>
  <w:style w:type="character" w:customStyle="1" w:styleId="a8">
    <w:name w:val="Назва Знак"/>
    <w:aliases w:val="Номер таблиці Знак"/>
    <w:basedOn w:val="a0"/>
    <w:link w:val="a7"/>
    <w:rsid w:val="00C475B3"/>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C475B3"/>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C475B3"/>
    <w:rPr>
      <w:rFonts w:ascii="Times New Roman" w:eastAsia="Times New Roman" w:hAnsi="Times New Roman" w:cs="Times New Roman"/>
      <w:sz w:val="24"/>
      <w:szCs w:val="24"/>
      <w:lang w:val="ru-RU" w:eastAsia="ru-RU"/>
    </w:rPr>
  </w:style>
  <w:style w:type="character" w:customStyle="1" w:styleId="submenu-table">
    <w:name w:val="submenu-table"/>
    <w:rsid w:val="00C47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5121</Words>
  <Characters>2920</Characters>
  <Application>Microsoft Office Word</Application>
  <DocSecurity>0</DocSecurity>
  <Lines>24</Lines>
  <Paragraphs>16</Paragraphs>
  <ScaleCrop>false</ScaleCrop>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2020-12-20T12:48:00Z</dcterms:created>
  <dcterms:modified xsi:type="dcterms:W3CDTF">2020-12-20T12:48:00Z</dcterms:modified>
</cp:coreProperties>
</file>