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3C" w:rsidRDefault="00617A3C" w:rsidP="00617A3C">
      <w:pPr>
        <w:rPr>
          <w:lang w:val="uk-UA"/>
        </w:rPr>
      </w:pPr>
    </w:p>
    <w:p w:rsidR="00617A3C" w:rsidRPr="00DB44DF" w:rsidRDefault="00617A3C" w:rsidP="00617A3C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2764FF" wp14:editId="485A830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617A3C" w:rsidRPr="00DB44DF" w:rsidRDefault="00617A3C" w:rsidP="00617A3C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617A3C" w:rsidRPr="00DB44DF" w:rsidRDefault="00617A3C" w:rsidP="00617A3C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617A3C" w:rsidRPr="00DB44DF" w:rsidRDefault="00617A3C" w:rsidP="00617A3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617A3C" w:rsidRPr="00DB44DF" w:rsidRDefault="00617A3C" w:rsidP="00617A3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617A3C" w:rsidRPr="00DB44DF" w:rsidRDefault="00617A3C" w:rsidP="00617A3C">
      <w:pPr>
        <w:rPr>
          <w:rFonts w:eastAsia="Calibri" w:cs="Times New Roman"/>
          <w:sz w:val="24"/>
          <w:szCs w:val="24"/>
          <w:lang w:val="uk-UA" w:eastAsia="ru-RU"/>
        </w:rPr>
      </w:pPr>
    </w:p>
    <w:p w:rsidR="00617A3C" w:rsidRPr="000823D0" w:rsidRDefault="00617A3C" w:rsidP="00617A3C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№1499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617A3C" w:rsidRPr="00DB44DF" w:rsidRDefault="00617A3C" w:rsidP="00617A3C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617A3C" w:rsidRDefault="00617A3C" w:rsidP="00617A3C">
      <w:pPr>
        <w:keepNext/>
        <w:autoSpaceDE w:val="0"/>
        <w:autoSpaceDN w:val="0"/>
        <w:jc w:val="both"/>
        <w:outlineLvl w:val="0"/>
        <w:rPr>
          <w:rFonts w:cs="Times New Roman"/>
          <w:b/>
          <w:bCs/>
          <w:color w:val="000000"/>
          <w:kern w:val="32"/>
          <w:sz w:val="24"/>
          <w:szCs w:val="24"/>
        </w:rPr>
      </w:pPr>
    </w:p>
    <w:p w:rsidR="00617A3C" w:rsidRPr="00432038" w:rsidRDefault="00617A3C" w:rsidP="00617A3C">
      <w:pPr>
        <w:keepNext/>
        <w:autoSpaceDE w:val="0"/>
        <w:autoSpaceDN w:val="0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  <w:r w:rsidRPr="00432038">
        <w:rPr>
          <w:rFonts w:cs="Times New Roman"/>
          <w:color w:val="000000"/>
          <w:kern w:val="32"/>
          <w:sz w:val="24"/>
          <w:szCs w:val="24"/>
        </w:rPr>
        <w:t xml:space="preserve">Про </w:t>
      </w:r>
      <w:bookmarkStart w:id="0" w:name="_Hlk62551250"/>
      <w:r w:rsidRPr="00432038">
        <w:rPr>
          <w:rFonts w:cs="Times New Roman"/>
          <w:color w:val="000000"/>
          <w:kern w:val="32"/>
          <w:sz w:val="24"/>
          <w:szCs w:val="24"/>
        </w:rPr>
        <w:t xml:space="preserve">затвердження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Програми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військово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-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патріотичного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виховання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молоді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до    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популяризація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пропагування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за контрактом</w:t>
      </w:r>
      <w:r w:rsidRPr="00432038">
        <w:rPr>
          <w:rFonts w:cs="Times New Roman"/>
          <w:color w:val="000000"/>
          <w:kern w:val="32"/>
          <w:sz w:val="24"/>
          <w:szCs w:val="24"/>
          <w:lang w:val="uk-UA"/>
        </w:rPr>
        <w:t xml:space="preserve"> </w:t>
      </w:r>
      <w:r w:rsidRPr="00432038">
        <w:rPr>
          <w:rFonts w:cs="Times New Roman"/>
          <w:color w:val="000000"/>
          <w:kern w:val="32"/>
          <w:sz w:val="24"/>
          <w:szCs w:val="24"/>
        </w:rPr>
        <w:t xml:space="preserve">в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Збройних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Силах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на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території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Райгородської сільської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432038">
        <w:rPr>
          <w:rFonts w:cs="Times New Roman"/>
          <w:color w:val="000000"/>
          <w:kern w:val="32"/>
          <w:sz w:val="24"/>
          <w:szCs w:val="24"/>
        </w:rPr>
        <w:t xml:space="preserve"> на   2021 - 2025 роки</w:t>
      </w:r>
    </w:p>
    <w:bookmarkEnd w:id="0"/>
    <w:p w:rsidR="00617A3C" w:rsidRDefault="00617A3C" w:rsidP="00617A3C">
      <w:pPr>
        <w:keepNext/>
        <w:autoSpaceDE w:val="0"/>
        <w:autoSpaceDN w:val="0"/>
        <w:ind w:firstLine="708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</w:p>
    <w:p w:rsidR="00617A3C" w:rsidRPr="00F16DE9" w:rsidRDefault="00617A3C" w:rsidP="00617A3C">
      <w:pPr>
        <w:keepNext/>
        <w:autoSpaceDE w:val="0"/>
        <w:autoSpaceDN w:val="0"/>
        <w:ind w:firstLine="708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Відповідно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bookmarkStart w:id="1" w:name="_Hlk62553425"/>
      <w:r w:rsidRPr="00F16DE9">
        <w:rPr>
          <w:rFonts w:cs="Times New Roman"/>
          <w:color w:val="000000"/>
          <w:kern w:val="32"/>
          <w:sz w:val="24"/>
          <w:szCs w:val="24"/>
        </w:rPr>
        <w:t xml:space="preserve">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статті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36 </w:t>
      </w:r>
      <w:bookmarkStart w:id="2" w:name="_Hlk62737911"/>
      <w:r w:rsidRPr="00F16DE9">
        <w:rPr>
          <w:rFonts w:cs="Times New Roman"/>
          <w:color w:val="000000"/>
          <w:kern w:val="32"/>
          <w:sz w:val="24"/>
          <w:szCs w:val="24"/>
        </w:rPr>
        <w:t xml:space="preserve">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bookmarkEnd w:id="2"/>
      <w:r w:rsidRPr="00F16DE9">
        <w:rPr>
          <w:rFonts w:cs="Times New Roman"/>
          <w:color w:val="000000"/>
          <w:kern w:val="32"/>
          <w:sz w:val="24"/>
          <w:szCs w:val="24"/>
        </w:rPr>
        <w:t xml:space="preserve">«Про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місцеве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самоврядування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в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», </w:t>
      </w:r>
      <w:bookmarkStart w:id="3" w:name="_Hlk62738551"/>
      <w:r w:rsidRPr="00F16DE9">
        <w:rPr>
          <w:rFonts w:cs="Times New Roman"/>
          <w:color w:val="000000"/>
          <w:kern w:val="32"/>
          <w:sz w:val="24"/>
          <w:szCs w:val="24"/>
        </w:rPr>
        <w:t xml:space="preserve">п. 5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статті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8</w:t>
      </w:r>
      <w:r w:rsidRPr="00F16DE9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F16DE9">
        <w:rPr>
          <w:rFonts w:cs="Times New Roman"/>
          <w:color w:val="000000"/>
          <w:kern w:val="32"/>
          <w:sz w:val="24"/>
          <w:szCs w:val="24"/>
        </w:rPr>
        <w:t xml:space="preserve">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«Про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добровільне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об’єднання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громад»</w:t>
      </w:r>
      <w:bookmarkEnd w:id="3"/>
      <w:r w:rsidRPr="00F16DE9">
        <w:rPr>
          <w:rFonts w:cs="Times New Roman"/>
          <w:color w:val="000000"/>
          <w:kern w:val="32"/>
          <w:sz w:val="24"/>
          <w:szCs w:val="24"/>
        </w:rPr>
        <w:t xml:space="preserve">, 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b/>
          <w:bCs/>
          <w:color w:val="000000"/>
          <w:kern w:val="32"/>
          <w:sz w:val="24"/>
          <w:szCs w:val="24"/>
        </w:rPr>
        <w:t xml:space="preserve"> </w:t>
      </w:r>
      <w:r w:rsidRPr="00F16DE9">
        <w:rPr>
          <w:rFonts w:cs="Times New Roman"/>
          <w:color w:val="000000"/>
          <w:kern w:val="32"/>
          <w:sz w:val="24"/>
          <w:szCs w:val="24"/>
        </w:rPr>
        <w:t xml:space="preserve">«Про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внесення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змін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деяких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законодавчих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актів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щодо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впорядкування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окремих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питань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організації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діяльності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органів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місцевого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самоврядування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районних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державних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адміністрацій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»,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статті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18 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«Про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мобілізаційну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підготовку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мобілізацію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>»,</w:t>
      </w:r>
      <w:r w:rsidRPr="00F16DE9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sz w:val="24"/>
          <w:szCs w:val="24"/>
        </w:rPr>
        <w:t>статті</w:t>
      </w:r>
      <w:proofErr w:type="spellEnd"/>
      <w:r w:rsidRPr="00F16DE9">
        <w:rPr>
          <w:rFonts w:cs="Times New Roman"/>
          <w:color w:val="000000"/>
          <w:sz w:val="24"/>
          <w:szCs w:val="24"/>
        </w:rPr>
        <w:t xml:space="preserve"> 43 </w:t>
      </w:r>
      <w:r w:rsidRPr="00F16DE9">
        <w:rPr>
          <w:rFonts w:cs="Times New Roman"/>
          <w:color w:val="000000"/>
          <w:kern w:val="32"/>
          <w:sz w:val="24"/>
          <w:szCs w:val="24"/>
        </w:rPr>
        <w:t xml:space="preserve">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«</w:t>
      </w:r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 xml:space="preserve">Про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>військовий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>обов'язок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 xml:space="preserve"> і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>військову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  <w:shd w:val="clear" w:color="auto" w:fill="FFFFFF"/>
        </w:rPr>
        <w:t xml:space="preserve"> служб</w:t>
      </w:r>
      <w:r w:rsidRPr="00F16DE9">
        <w:rPr>
          <w:rFonts w:cs="Times New Roman"/>
          <w:color w:val="000000"/>
          <w:kern w:val="32"/>
          <w:sz w:val="24"/>
          <w:szCs w:val="24"/>
        </w:rPr>
        <w:t>у»,</w:t>
      </w:r>
      <w:r w:rsidRPr="00F16DE9">
        <w:rPr>
          <w:rFonts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статті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15 Закону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«Про оборону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>»</w:t>
      </w:r>
      <w:bookmarkEnd w:id="1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розглянувши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проект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військово-патріотичного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виховання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молоді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популяризація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пропагування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 контрактом в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Збройних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Силах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Райгородської сільської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на 2021-2025 роки, з метою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удосконалення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допризовної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військово-патріотичного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виховання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військово-професійного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орієнтування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забезпечення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навчання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розвитку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психологічної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молоді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захисту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Вітчизни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зміцнення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законності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вжиття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всіх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необхідних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заходів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у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галузі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оборонної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роботи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передбачених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законами,</w:t>
      </w:r>
      <w:r w:rsidRPr="00F16DE9">
        <w:rPr>
          <w:rFonts w:cs="Times New Roman"/>
          <w:sz w:val="24"/>
          <w:szCs w:val="24"/>
        </w:rPr>
        <w:t xml:space="preserve"> </w:t>
      </w:r>
      <w:bookmarkStart w:id="4" w:name="_Hlk62553863"/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сільська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рада </w:t>
      </w:r>
      <w:bookmarkEnd w:id="4"/>
    </w:p>
    <w:p w:rsidR="00617A3C" w:rsidRDefault="00617A3C" w:rsidP="00617A3C">
      <w:pPr>
        <w:keepNext/>
        <w:autoSpaceDE w:val="0"/>
        <w:autoSpaceDN w:val="0"/>
        <w:ind w:firstLine="708"/>
        <w:jc w:val="both"/>
        <w:outlineLvl w:val="0"/>
        <w:rPr>
          <w:rFonts w:cs="Times New Roman"/>
          <w:b/>
          <w:bCs/>
          <w:color w:val="000000"/>
          <w:kern w:val="32"/>
          <w:sz w:val="24"/>
          <w:szCs w:val="24"/>
          <w:shd w:val="clear" w:color="auto" w:fill="FFFFFF"/>
        </w:rPr>
      </w:pPr>
    </w:p>
    <w:p w:rsidR="00617A3C" w:rsidRDefault="00617A3C" w:rsidP="00617A3C">
      <w:pPr>
        <w:keepNext/>
        <w:autoSpaceDE w:val="0"/>
        <w:autoSpaceDN w:val="0"/>
        <w:ind w:left="2832" w:firstLine="708"/>
        <w:jc w:val="both"/>
        <w:outlineLvl w:val="0"/>
        <w:rPr>
          <w:rFonts w:cs="Times New Roman"/>
          <w:b/>
          <w:bCs/>
          <w:color w:val="000000"/>
          <w:kern w:val="32"/>
          <w:sz w:val="24"/>
          <w:szCs w:val="24"/>
          <w:shd w:val="clear" w:color="auto" w:fill="FFFFFF"/>
        </w:rPr>
      </w:pPr>
      <w:r w:rsidRPr="00F16DE9">
        <w:rPr>
          <w:rFonts w:cs="Times New Roman"/>
          <w:b/>
          <w:bCs/>
          <w:color w:val="000000"/>
          <w:kern w:val="32"/>
          <w:sz w:val="24"/>
          <w:szCs w:val="24"/>
          <w:shd w:val="clear" w:color="auto" w:fill="FFFFFF"/>
        </w:rPr>
        <w:t>ВИРІШИЛА:</w:t>
      </w:r>
    </w:p>
    <w:p w:rsidR="00617A3C" w:rsidRPr="00F16DE9" w:rsidRDefault="00617A3C" w:rsidP="00617A3C">
      <w:pPr>
        <w:keepNext/>
        <w:autoSpaceDE w:val="0"/>
        <w:autoSpaceDN w:val="0"/>
        <w:ind w:left="2832" w:firstLine="708"/>
        <w:jc w:val="both"/>
        <w:outlineLvl w:val="0"/>
        <w:rPr>
          <w:rFonts w:cs="Times New Roman"/>
          <w:b/>
          <w:bCs/>
          <w:color w:val="000000"/>
          <w:kern w:val="32"/>
          <w:sz w:val="24"/>
          <w:szCs w:val="24"/>
          <w:shd w:val="clear" w:color="auto" w:fill="FFFFFF"/>
        </w:rPr>
      </w:pPr>
    </w:p>
    <w:p w:rsidR="00617A3C" w:rsidRPr="00F16DE9" w:rsidRDefault="00617A3C" w:rsidP="00617A3C">
      <w:pPr>
        <w:keepNext/>
        <w:keepLines/>
        <w:numPr>
          <w:ilvl w:val="0"/>
          <w:numId w:val="1"/>
        </w:numPr>
        <w:tabs>
          <w:tab w:val="left" w:pos="1134"/>
        </w:tabs>
        <w:ind w:left="567" w:hanging="425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Затвердити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bookmarkStart w:id="5" w:name="_Hlk62552703"/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Програму</w:t>
      </w:r>
      <w:bookmarkEnd w:id="5"/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військово-патріотичного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виховання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молоді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популяризація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пропагування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 контрактом в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Збройних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Силах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Райгородської сільської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на 2021-2025 роки</w:t>
      </w:r>
      <w:r w:rsidRPr="00F16DE9">
        <w:rPr>
          <w:rFonts w:cs="Times New Roman"/>
          <w:b/>
          <w:bCs/>
          <w:color w:val="000000"/>
          <w:kern w:val="32"/>
          <w:sz w:val="24"/>
          <w:szCs w:val="24"/>
        </w:rPr>
        <w:t xml:space="preserve"> </w:t>
      </w:r>
      <w:r w:rsidRPr="00F16DE9">
        <w:rPr>
          <w:rFonts w:cs="Times New Roman"/>
          <w:color w:val="000000"/>
          <w:kern w:val="32"/>
          <w:sz w:val="24"/>
          <w:szCs w:val="24"/>
        </w:rPr>
        <w:t>(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далі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-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Програма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),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додається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>.</w:t>
      </w:r>
    </w:p>
    <w:p w:rsidR="00617A3C" w:rsidRPr="00F16DE9" w:rsidRDefault="00617A3C" w:rsidP="00617A3C">
      <w:pPr>
        <w:keepNext/>
        <w:keepLines/>
        <w:numPr>
          <w:ilvl w:val="0"/>
          <w:numId w:val="1"/>
        </w:numPr>
        <w:tabs>
          <w:tab w:val="left" w:pos="1134"/>
        </w:tabs>
        <w:ind w:left="567" w:hanging="425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Рекомендувати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сільській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раді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Райгородської сільської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затвердити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заходи на виконання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військово-патріотичного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виховання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підготовки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молоді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до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популяризація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та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пропагування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військової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служби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 контрактом в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Збройних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Силах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України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Райгородської сільської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на 2021-2025 роки,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керуючись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положеннями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закладеними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в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даній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Програмі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>.</w:t>
      </w:r>
    </w:p>
    <w:p w:rsidR="00617A3C" w:rsidRPr="00F16DE9" w:rsidRDefault="00617A3C" w:rsidP="00617A3C">
      <w:pPr>
        <w:keepNext/>
        <w:keepLines/>
        <w:numPr>
          <w:ilvl w:val="0"/>
          <w:numId w:val="1"/>
        </w:numPr>
        <w:tabs>
          <w:tab w:val="left" w:pos="1134"/>
        </w:tabs>
        <w:ind w:left="567" w:hanging="425"/>
        <w:jc w:val="both"/>
        <w:outlineLvl w:val="0"/>
        <w:rPr>
          <w:rFonts w:cs="Times New Roman"/>
          <w:color w:val="000000"/>
          <w:kern w:val="32"/>
          <w:sz w:val="24"/>
          <w:szCs w:val="24"/>
        </w:rPr>
      </w:pP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Фінансування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Програми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здійснювати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за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рахунок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коштів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бюджету Райгородської сільської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територіальної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громади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,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затверджених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на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відповідний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F16DE9">
        <w:rPr>
          <w:rFonts w:cs="Times New Roman"/>
          <w:color w:val="000000"/>
          <w:kern w:val="32"/>
          <w:sz w:val="24"/>
          <w:szCs w:val="24"/>
        </w:rPr>
        <w:t>період</w:t>
      </w:r>
      <w:proofErr w:type="spellEnd"/>
      <w:r w:rsidRPr="00F16DE9">
        <w:rPr>
          <w:rFonts w:cs="Times New Roman"/>
          <w:color w:val="000000"/>
          <w:kern w:val="32"/>
          <w:sz w:val="24"/>
          <w:szCs w:val="24"/>
        </w:rPr>
        <w:t>.</w:t>
      </w:r>
    </w:p>
    <w:p w:rsidR="00617A3C" w:rsidRPr="00432038" w:rsidRDefault="00617A3C" w:rsidP="00617A3C">
      <w:pPr>
        <w:pStyle w:val="a3"/>
        <w:numPr>
          <w:ilvl w:val="0"/>
          <w:numId w:val="1"/>
        </w:numPr>
        <w:ind w:left="567" w:hanging="425"/>
        <w:jc w:val="both"/>
        <w:rPr>
          <w:rFonts w:cs="Times New Roman"/>
          <w:sz w:val="24"/>
          <w:szCs w:val="24"/>
        </w:rPr>
      </w:pPr>
      <w:r w:rsidRPr="00432038">
        <w:rPr>
          <w:rFonts w:cs="Times New Roman"/>
          <w:sz w:val="24"/>
          <w:szCs w:val="24"/>
        </w:rPr>
        <w:t xml:space="preserve">Контроль за </w:t>
      </w:r>
      <w:proofErr w:type="spellStart"/>
      <w:r w:rsidRPr="00432038">
        <w:rPr>
          <w:rFonts w:cs="Times New Roman"/>
          <w:sz w:val="24"/>
          <w:szCs w:val="24"/>
        </w:rPr>
        <w:t>виконанням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даного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рішення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покласти</w:t>
      </w:r>
      <w:proofErr w:type="spellEnd"/>
      <w:r w:rsidRPr="00432038">
        <w:rPr>
          <w:rFonts w:cs="Times New Roman"/>
          <w:sz w:val="24"/>
          <w:szCs w:val="24"/>
        </w:rPr>
        <w:t xml:space="preserve"> на </w:t>
      </w:r>
      <w:proofErr w:type="spellStart"/>
      <w:r w:rsidRPr="00432038">
        <w:rPr>
          <w:rFonts w:cs="Times New Roman"/>
          <w:sz w:val="24"/>
          <w:szCs w:val="24"/>
        </w:rPr>
        <w:t>постійну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комісію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gramStart"/>
      <w:r w:rsidRPr="00432038">
        <w:rPr>
          <w:rFonts w:cs="Times New Roman"/>
          <w:sz w:val="24"/>
          <w:szCs w:val="24"/>
        </w:rPr>
        <w:t xml:space="preserve">з  </w:t>
      </w:r>
      <w:proofErr w:type="spellStart"/>
      <w:r w:rsidRPr="00432038">
        <w:rPr>
          <w:rFonts w:cs="Times New Roman"/>
          <w:sz w:val="24"/>
          <w:szCs w:val="24"/>
        </w:rPr>
        <w:t>питань</w:t>
      </w:r>
      <w:proofErr w:type="spellEnd"/>
      <w:proofErr w:type="gramEnd"/>
      <w:r w:rsidRPr="00432038">
        <w:rPr>
          <w:rFonts w:cs="Times New Roman"/>
          <w:sz w:val="24"/>
          <w:szCs w:val="24"/>
        </w:rPr>
        <w:t xml:space="preserve">  регламенту, </w:t>
      </w:r>
      <w:proofErr w:type="spellStart"/>
      <w:r w:rsidRPr="00432038">
        <w:rPr>
          <w:rFonts w:cs="Times New Roman"/>
          <w:sz w:val="24"/>
          <w:szCs w:val="24"/>
        </w:rPr>
        <w:t>гласності</w:t>
      </w:r>
      <w:proofErr w:type="spellEnd"/>
      <w:r w:rsidRPr="00432038">
        <w:rPr>
          <w:rFonts w:cs="Times New Roman"/>
          <w:sz w:val="24"/>
          <w:szCs w:val="24"/>
        </w:rPr>
        <w:t xml:space="preserve">, </w:t>
      </w:r>
      <w:proofErr w:type="spellStart"/>
      <w:r w:rsidRPr="00432038">
        <w:rPr>
          <w:rFonts w:cs="Times New Roman"/>
          <w:sz w:val="24"/>
          <w:szCs w:val="24"/>
        </w:rPr>
        <w:t>депутатської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діяльності</w:t>
      </w:r>
      <w:proofErr w:type="spellEnd"/>
      <w:r w:rsidRPr="00432038">
        <w:rPr>
          <w:rFonts w:cs="Times New Roman"/>
          <w:sz w:val="24"/>
          <w:szCs w:val="24"/>
        </w:rPr>
        <w:t xml:space="preserve"> і </w:t>
      </w:r>
      <w:proofErr w:type="spellStart"/>
      <w:r w:rsidRPr="00432038">
        <w:rPr>
          <w:rFonts w:cs="Times New Roman"/>
          <w:sz w:val="24"/>
          <w:szCs w:val="24"/>
        </w:rPr>
        <w:t>етики</w:t>
      </w:r>
      <w:proofErr w:type="spellEnd"/>
      <w:r w:rsidRPr="00432038">
        <w:rPr>
          <w:rFonts w:cs="Times New Roman"/>
          <w:sz w:val="24"/>
          <w:szCs w:val="24"/>
        </w:rPr>
        <w:t xml:space="preserve">, прав  </w:t>
      </w:r>
      <w:proofErr w:type="spellStart"/>
      <w:r w:rsidRPr="00432038">
        <w:rPr>
          <w:rFonts w:cs="Times New Roman"/>
          <w:sz w:val="24"/>
          <w:szCs w:val="24"/>
        </w:rPr>
        <w:t>людини</w:t>
      </w:r>
      <w:proofErr w:type="spellEnd"/>
      <w:r w:rsidRPr="00432038">
        <w:rPr>
          <w:rFonts w:cs="Times New Roman"/>
          <w:sz w:val="24"/>
          <w:szCs w:val="24"/>
        </w:rPr>
        <w:t xml:space="preserve">, </w:t>
      </w:r>
      <w:proofErr w:type="spellStart"/>
      <w:r w:rsidRPr="00432038">
        <w:rPr>
          <w:rFonts w:cs="Times New Roman"/>
          <w:sz w:val="24"/>
          <w:szCs w:val="24"/>
        </w:rPr>
        <w:t>законності</w:t>
      </w:r>
      <w:proofErr w:type="spellEnd"/>
      <w:r w:rsidRPr="00432038">
        <w:rPr>
          <w:rFonts w:cs="Times New Roman"/>
          <w:sz w:val="24"/>
          <w:szCs w:val="24"/>
        </w:rPr>
        <w:t xml:space="preserve"> та </w:t>
      </w:r>
      <w:proofErr w:type="spellStart"/>
      <w:r w:rsidRPr="00432038">
        <w:rPr>
          <w:rFonts w:cs="Times New Roman"/>
          <w:sz w:val="24"/>
          <w:szCs w:val="24"/>
        </w:rPr>
        <w:t>запобігання</w:t>
      </w:r>
      <w:proofErr w:type="spellEnd"/>
      <w:r w:rsidRPr="00432038">
        <w:rPr>
          <w:rFonts w:cs="Times New Roman"/>
          <w:sz w:val="24"/>
          <w:szCs w:val="24"/>
        </w:rPr>
        <w:t xml:space="preserve"> </w:t>
      </w:r>
      <w:proofErr w:type="spellStart"/>
      <w:r w:rsidRPr="00432038">
        <w:rPr>
          <w:rFonts w:cs="Times New Roman"/>
          <w:sz w:val="24"/>
          <w:szCs w:val="24"/>
        </w:rPr>
        <w:t>корупції</w:t>
      </w:r>
      <w:proofErr w:type="spellEnd"/>
      <w:r w:rsidRPr="00432038">
        <w:rPr>
          <w:rFonts w:cs="Times New Roman"/>
          <w:sz w:val="24"/>
          <w:szCs w:val="24"/>
        </w:rPr>
        <w:t>.</w:t>
      </w:r>
    </w:p>
    <w:p w:rsidR="00617A3C" w:rsidRPr="00432038" w:rsidRDefault="00617A3C" w:rsidP="00617A3C">
      <w:pPr>
        <w:rPr>
          <w:sz w:val="24"/>
          <w:szCs w:val="24"/>
        </w:rPr>
      </w:pPr>
    </w:p>
    <w:p w:rsidR="00617A3C" w:rsidRDefault="00617A3C" w:rsidP="00617A3C">
      <w:pPr>
        <w:rPr>
          <w:lang w:val="uk-UA"/>
        </w:rPr>
      </w:pPr>
    </w:p>
    <w:p w:rsidR="00617A3C" w:rsidRPr="00EC1263" w:rsidRDefault="00617A3C" w:rsidP="00617A3C">
      <w:pPr>
        <w:keepNext/>
        <w:keepLines/>
        <w:jc w:val="center"/>
        <w:outlineLvl w:val="4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EC1263">
        <w:rPr>
          <w:rFonts w:eastAsia="Times New Roman" w:cs="Times New Roman"/>
          <w:sz w:val="24"/>
          <w:szCs w:val="24"/>
          <w:lang w:val="uk-UA" w:eastAsia="ru-RU"/>
        </w:rPr>
        <w:t>Сільський голова                        Віктор МИХАЙЛЕНКО</w:t>
      </w:r>
    </w:p>
    <w:p w:rsidR="00617A3C" w:rsidRDefault="00617A3C" w:rsidP="00617A3C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17A3C" w:rsidRPr="00EC1263" w:rsidRDefault="00617A3C" w:rsidP="00617A3C">
      <w:pPr>
        <w:ind w:left="4956" w:firstLine="708"/>
        <w:jc w:val="right"/>
        <w:rPr>
          <w:rFonts w:eastAsia="Calibri" w:cs="Times New Roman"/>
          <w:color w:val="000000"/>
          <w:sz w:val="22"/>
          <w:lang w:eastAsia="ru-RU"/>
        </w:rPr>
      </w:pPr>
      <w:proofErr w:type="spellStart"/>
      <w:r w:rsidRPr="00EC1263">
        <w:rPr>
          <w:rFonts w:eastAsia="Calibri" w:cs="Times New Roman"/>
          <w:sz w:val="22"/>
          <w:lang w:eastAsia="ru-RU"/>
        </w:rPr>
        <w:lastRenderedPageBreak/>
        <w:t>Додаток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</w:p>
    <w:p w:rsidR="00617A3C" w:rsidRPr="00EC1263" w:rsidRDefault="00617A3C" w:rsidP="00617A3C">
      <w:pPr>
        <w:jc w:val="right"/>
        <w:rPr>
          <w:rFonts w:eastAsia="Calibri" w:cs="Times New Roman"/>
          <w:sz w:val="22"/>
          <w:lang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  <w:t xml:space="preserve">до </w:t>
      </w:r>
      <w:proofErr w:type="spellStart"/>
      <w:proofErr w:type="gramStart"/>
      <w:r w:rsidRPr="00EC1263">
        <w:rPr>
          <w:rFonts w:eastAsia="Calibri" w:cs="Times New Roman"/>
          <w:sz w:val="22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 </w:t>
      </w:r>
      <w:r w:rsidRPr="00EC1263">
        <w:rPr>
          <w:rFonts w:eastAsia="Calibri" w:cs="Times New Roman"/>
          <w:sz w:val="22"/>
          <w:lang w:val="uk-UA" w:eastAsia="ru-RU"/>
        </w:rPr>
        <w:t>2</w:t>
      </w:r>
      <w:r>
        <w:rPr>
          <w:rFonts w:eastAsia="Calibri" w:cs="Times New Roman"/>
          <w:sz w:val="22"/>
          <w:lang w:val="uk-UA" w:eastAsia="ru-RU"/>
        </w:rPr>
        <w:t>5</w:t>
      </w:r>
      <w:proofErr w:type="gramEnd"/>
      <w:r w:rsidRPr="00EC1263">
        <w:rPr>
          <w:rFonts w:eastAsia="Calibri" w:cs="Times New Roman"/>
          <w:sz w:val="22"/>
          <w:lang w:eastAsia="ru-RU"/>
        </w:rPr>
        <w:t xml:space="preserve"> сесії  8 </w:t>
      </w:r>
      <w:proofErr w:type="spellStart"/>
      <w:r w:rsidRPr="00EC1263">
        <w:rPr>
          <w:rFonts w:eastAsia="Calibri" w:cs="Times New Roman"/>
          <w:sz w:val="22"/>
          <w:lang w:eastAsia="ru-RU"/>
        </w:rPr>
        <w:t>скликання</w:t>
      </w:r>
      <w:proofErr w:type="spellEnd"/>
    </w:p>
    <w:p w:rsidR="00617A3C" w:rsidRPr="00EC1263" w:rsidRDefault="00617A3C" w:rsidP="00617A3C">
      <w:pPr>
        <w:jc w:val="right"/>
        <w:rPr>
          <w:rFonts w:eastAsia="Calibri" w:cs="Times New Roman"/>
          <w:color w:val="000000"/>
          <w:sz w:val="22"/>
          <w:lang w:eastAsia="ru-RU"/>
        </w:rPr>
      </w:pPr>
      <w:r w:rsidRPr="00EC1263">
        <w:rPr>
          <w:rFonts w:eastAsia="Calibri" w:cs="Times New Roman"/>
          <w:color w:val="000000"/>
          <w:sz w:val="22"/>
          <w:lang w:eastAsia="ru-RU"/>
        </w:rPr>
        <w:t>Райгородської сільської ради </w:t>
      </w:r>
    </w:p>
    <w:p w:rsidR="00617A3C" w:rsidRPr="00EC1263" w:rsidRDefault="00617A3C" w:rsidP="00617A3C">
      <w:pPr>
        <w:jc w:val="right"/>
        <w:rPr>
          <w:rFonts w:eastAsia="Calibri" w:cs="Times New Roman"/>
          <w:sz w:val="22"/>
          <w:lang w:val="uk-UA"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proofErr w:type="spellStart"/>
      <w:r w:rsidRPr="00EC1263">
        <w:rPr>
          <w:rFonts w:eastAsia="Calibri" w:cs="Times New Roman"/>
          <w:sz w:val="22"/>
          <w:lang w:eastAsia="ru-RU"/>
        </w:rPr>
        <w:t>від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20.01.2022</w:t>
      </w:r>
      <w:r w:rsidRPr="00EC1263">
        <w:rPr>
          <w:rFonts w:eastAsia="Calibri" w:cs="Times New Roman"/>
          <w:sz w:val="22"/>
          <w:lang w:eastAsia="ru-RU"/>
        </w:rPr>
        <w:t xml:space="preserve"> року № </w:t>
      </w:r>
      <w:r>
        <w:rPr>
          <w:rFonts w:eastAsia="Calibri" w:cs="Times New Roman"/>
          <w:sz w:val="22"/>
          <w:lang w:val="uk-UA" w:eastAsia="ru-RU"/>
        </w:rPr>
        <w:t>1499</w:t>
      </w:r>
    </w:p>
    <w:p w:rsidR="00617A3C" w:rsidRPr="002B6C2B" w:rsidRDefault="00617A3C" w:rsidP="00617A3C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ПРОГРАМА</w:t>
      </w:r>
    </w:p>
    <w:p w:rsidR="00617A3C" w:rsidRPr="002B6C2B" w:rsidRDefault="00617A3C" w:rsidP="00617A3C">
      <w:pPr>
        <w:ind w:left="36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bookmarkStart w:id="6" w:name="_Hlk62567687"/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військово-патріотичного виховання, підготовки молоді до військової служби, </w:t>
      </w:r>
      <w:bookmarkStart w:id="7" w:name="_Hlk62575219"/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популяризація </w:t>
      </w:r>
      <w:bookmarkEnd w:id="7"/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та пропагування військової служби за контрактом в Збройних Силах України Райгородської сільської територіальної громади на 2021-2025 роки</w:t>
      </w:r>
      <w:bookmarkEnd w:id="6"/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.</w:t>
      </w:r>
    </w:p>
    <w:p w:rsidR="00617A3C" w:rsidRPr="002B6C2B" w:rsidRDefault="00617A3C" w:rsidP="00617A3C">
      <w:pPr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numPr>
          <w:ilvl w:val="0"/>
          <w:numId w:val="4"/>
        </w:num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2B6C2B">
        <w:rPr>
          <w:rFonts w:eastAsia="Times New Roman" w:cs="Times New Roman"/>
          <w:b/>
          <w:sz w:val="24"/>
          <w:szCs w:val="24"/>
          <w:lang w:eastAsia="ru-RU"/>
        </w:rPr>
        <w:t>Загальна</w:t>
      </w:r>
      <w:proofErr w:type="spellEnd"/>
      <w:r w:rsidRPr="002B6C2B">
        <w:rPr>
          <w:rFonts w:eastAsia="Times New Roman" w:cs="Times New Roman"/>
          <w:b/>
          <w:sz w:val="24"/>
          <w:szCs w:val="24"/>
          <w:lang w:eastAsia="ru-RU"/>
        </w:rPr>
        <w:t xml:space="preserve"> характеристика </w:t>
      </w: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Програми</w:t>
      </w:r>
    </w:p>
    <w:p w:rsidR="00617A3C" w:rsidRPr="002B6C2B" w:rsidRDefault="00617A3C" w:rsidP="00617A3C">
      <w:p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      Програма </w:t>
      </w:r>
      <w:r w:rsidRPr="002B6C2B">
        <w:rPr>
          <w:rFonts w:eastAsia="Times New Roman" w:cs="Times New Roman"/>
          <w:bCs/>
          <w:sz w:val="24"/>
          <w:szCs w:val="24"/>
          <w:lang w:val="uk-UA" w:eastAsia="ru-RU"/>
        </w:rPr>
        <w:t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Райгородської сільської територіальної громади на 2021-2025 роки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(надалі – Програма) розроблялася у відповідності до: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Конституції України;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Закону України № 2232 – </w:t>
      </w:r>
      <w:r w:rsidRPr="002B6C2B">
        <w:rPr>
          <w:rFonts w:eastAsia="Times New Roman" w:cs="Times New Roman"/>
          <w:sz w:val="24"/>
          <w:szCs w:val="24"/>
          <w:lang w:val="en-US" w:eastAsia="ru-RU"/>
        </w:rPr>
        <w:t>X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>І</w:t>
      </w:r>
      <w:r w:rsidRPr="002B6C2B">
        <w:rPr>
          <w:rFonts w:eastAsia="Times New Roman" w:cs="Times New Roman"/>
          <w:sz w:val="24"/>
          <w:szCs w:val="24"/>
          <w:lang w:val="en-US" w:eastAsia="ru-RU"/>
        </w:rPr>
        <w:t>I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від 25 березня 1992 року "Про військовий обов’язок і військову службу";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bookmarkStart w:id="8" w:name="_Hlk62567626"/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Закону України № 280/97-ВР від 21 травня 1997 року </w:t>
      </w:r>
      <w:bookmarkEnd w:id="8"/>
      <w:r w:rsidRPr="002B6C2B">
        <w:rPr>
          <w:rFonts w:eastAsia="Times New Roman" w:cs="Times New Roman"/>
          <w:sz w:val="24"/>
          <w:szCs w:val="24"/>
          <w:lang w:val="uk-UA" w:eastAsia="ru-RU"/>
        </w:rPr>
        <w:t>«Про місцеве самоврядування в Україні»;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Закону України № 157-VIII від 5 лютого 2015 року «Про добровільне об’єднання територіальних громад»;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Закону України № 1009-IX від 17 листопада 2020 року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адміністрацій»,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Указу Президента України № 286/2019 від 18 травня 2019 року “Про Стратегію національно-патріотичного виховання ”;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Положення про організацію допризовної підготовки молоді, затвердженого Постановою Кабінету Міністрів України № 1770  від 30 листопада 2000 року;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Положення про підготовку та проведення призову, затвердженого Постановою Кабінету Міністрів України № 352 від 21 березня 2002 року  </w:t>
      </w:r>
      <w:r w:rsidRPr="002B6C2B">
        <w:rPr>
          <w:rFonts w:eastAsia="Times New Roman" w:cs="Times New Roman"/>
          <w:bCs/>
          <w:sz w:val="24"/>
          <w:szCs w:val="24"/>
          <w:lang w:val="uk-UA" w:eastAsia="ru-RU"/>
        </w:rPr>
        <w:t>в редакції постанови Кабінету Міністрів України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2B6C2B">
        <w:rPr>
          <w:rFonts w:eastAsia="Times New Roman" w:cs="Times New Roman"/>
          <w:bCs/>
          <w:sz w:val="24"/>
          <w:szCs w:val="24"/>
          <w:lang w:val="uk-UA" w:eastAsia="ru-RU"/>
        </w:rPr>
        <w:t>від 20 січня 2021 р. № 100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; </w:t>
      </w:r>
    </w:p>
    <w:p w:rsidR="00617A3C" w:rsidRPr="002B6C2B" w:rsidRDefault="00617A3C" w:rsidP="00617A3C">
      <w:pPr>
        <w:numPr>
          <w:ilvl w:val="0"/>
          <w:numId w:val="3"/>
        </w:numPr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Бюджетного кодексу України</w:t>
      </w:r>
      <w:r w:rsidRPr="002B6C2B">
        <w:rPr>
          <w:rFonts w:eastAsia="Times New Roman" w:cs="Times New Roman"/>
          <w:i/>
          <w:iCs/>
          <w:sz w:val="24"/>
          <w:szCs w:val="24"/>
          <w:lang w:val="uk-UA" w:eastAsia="ru-RU"/>
        </w:rPr>
        <w:t>.</w:t>
      </w:r>
    </w:p>
    <w:p w:rsidR="00617A3C" w:rsidRPr="002B6C2B" w:rsidRDefault="00617A3C" w:rsidP="00617A3C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numPr>
          <w:ilvl w:val="0"/>
          <w:numId w:val="4"/>
        </w:num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Мета Програми</w:t>
      </w:r>
    </w:p>
    <w:p w:rsidR="00617A3C" w:rsidRPr="002B6C2B" w:rsidRDefault="00617A3C" w:rsidP="00617A3C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       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>Метою Програми є :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визначення основних напрямків удосконалення допризовної підготовки,  військово-патріотичного виховання, військово-професійного орієнтування молоді;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підвищення ефективності виховної роботи, патріотичного виховання юнаків в період проходження приписки до призовних дільниць та призову на строкову військову службу;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координація діяльності органів місцевого самоврядування усіх рівнів, громадських організацій, навчальних і культурно просвітницьких закладів, керівників підприємств і установ пов’язаних з питаннями пропаганди  військової служби у Збройних Силах  України за контрактом та у військовому резерві;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забезпечення  навчання, виховання, розвитку та психологічної підготовки  молоді до захисту Вітчизни;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удосконалення педагогічних форм і методів, використання інноваційних технологій при навчанні молоді основ військової справи, в роботі з військовозобов’язаними під час відбору та направлення на військову службу за контрактом та пропаганді контрактної служби;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організація та проведення методичної підготовки викладачів допризовної підготовки.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організація військово – шефської роботи з молоддю.</w:t>
      </w:r>
    </w:p>
    <w:p w:rsidR="00617A3C" w:rsidRPr="002B6C2B" w:rsidRDefault="00617A3C" w:rsidP="00617A3C">
      <w:pPr>
        <w:ind w:left="72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numPr>
          <w:ilvl w:val="0"/>
          <w:numId w:val="4"/>
        </w:num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lastRenderedPageBreak/>
        <w:t>Основні завдання Програми</w:t>
      </w:r>
    </w:p>
    <w:p w:rsidR="00617A3C" w:rsidRPr="002B6C2B" w:rsidRDefault="00617A3C" w:rsidP="00617A3C">
      <w:pPr>
        <w:ind w:left="708"/>
        <w:jc w:val="both"/>
        <w:rPr>
          <w:rFonts w:eastAsia="Times New Roman" w:cs="Times New Roman"/>
          <w:b/>
          <w:sz w:val="24"/>
          <w:szCs w:val="24"/>
          <w:u w:val="single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Основними завданнями Програми є: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ознайомлення молоді з основними положеннями Конституції України щодо захисту Вітчизни, Законів України “Про оборону України”, "Про військовий обов’язок і військову службу", “Про Збройні Сили України”, “Про соціальний правовий захист військовослужбовців та членів їх сімей” та  інших нормативно-правових актів з питань оборони,  проходження строкової військової служби та військової служби за контрактом;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набуття знань про функції Збройних Сил України та інших військових формувань, їх характерні особливості, перспективи розвитку та військове будівництво;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72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надання інформації щодо умов прийому військовозобов’язаних на військову службу за контрактом, державних гарантій відносно фінансового та матеріального забезпечення військовослужбовців, які проходять військову службу за контрактом та у військовому резерві, участі Збройних Сил України у миротворчих операціях;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72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проведення психологічної підготовки до військової служби;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72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національне військово – патріотичне виховання молоді та підготовка юнаків до служби в Збройних Силах України;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72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медичне забезпечення призову громадян України на строкову військову службу;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72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фінансове забезпечення призову громадян України на строкову військову службу. 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numPr>
          <w:ilvl w:val="0"/>
          <w:numId w:val="4"/>
        </w:num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Шляхи вирішення поставлених завдань:</w:t>
      </w:r>
    </w:p>
    <w:p w:rsidR="00617A3C" w:rsidRPr="002B6C2B" w:rsidRDefault="00617A3C" w:rsidP="00617A3C">
      <w:pPr>
        <w:ind w:left="360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>Шляхами вирішення поставлених завдань в Програмі є: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 координація зусиль органу місцевого самоврядування, навчальних закладів  територіальної громади, територіального центру комплектування та соціальної підтримки, громадських організацій всіх рівнів;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сприяння створенню військово-патріотичних об’єднань, військово-спортивних клубів, гуртків, секцій, профільних військово-спортивних плані в навчальних закладах громади з поглибленим вивченням допризовної підготовки;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пропаганда кращих здобутків у військово-патріотичному вихованні, проведення фестивалів, конкурсів щодо популяризації проходження військової служби в Збройних Силах України в тому числі і на контрактній основі;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вивчення історії українського війська;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ознайомлення із законодавством про проходження служби у Збройних Силах України;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ознайомлення із структурою і завданням Збройних Сил України;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набуття практичних навичок з основ військової справи, в тому числі з вогневої, тактичної, прикладної фізичної підготовки, вивчення статутів Збройних Сил України;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ознайомлення з умовами проходження військової служби та дозвілля військових, фінансово-матеріальним забезпеченням військовослужбовців, які проходять військову службу за контрактом  безпосередньо у військових частинах, які дислокуються на території області.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</w:p>
    <w:p w:rsidR="00617A3C" w:rsidRPr="002B6C2B" w:rsidRDefault="00617A3C" w:rsidP="00617A3C">
      <w:pPr>
        <w:ind w:left="36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5. Основні заходи, які спрямовані  на забезпечення реалізації програми: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>Основними заходами для забезпечення виконання Програми є: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 національно – патріотичне, військово – професійне орієнтування молоді та підготовка громадян України до служби в Збройних Силах України;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призов громадян на строкову військову службу та направлення на військову службу за контрактом;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- </w:t>
      </w:r>
      <w:r w:rsidRPr="002B6C2B">
        <w:rPr>
          <w:rFonts w:eastAsia="Times New Roman" w:cs="Times New Roman"/>
          <w:bCs/>
          <w:sz w:val="24"/>
          <w:szCs w:val="24"/>
          <w:lang w:val="uk-UA" w:eastAsia="ru-RU"/>
        </w:rPr>
        <w:t>популяризація</w:t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та пропагування військової служби за контрактом та у військовому резерві Збройних Сил України;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проведення інформаційно – роз’яснювальної роботи щодо необхідності виконання військового обов’язку, передбаченого Конституцією України;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виховання національної свідомості на українознавчих, духовних, героїко- патріотичних традиціях українського народу, формування  свідомості в юнаків щодо необхідності захисту своєї держави;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lastRenderedPageBreak/>
        <w:t>-  здійснення контролю за станом викладання предмету «Захист Вітчизни» в навчальних закладах об’єднаної територіальної громади;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організація попереднього відбору кандидатів для направлення на навчання у військові ліцеї, вищі військові навчальні заклади, формування у юнаків прагнення до оволодіння військовими знаннями, підвищення престижу військової служби, сприяння військово-професійній орієнтації молоді;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-  активізація військово-шефської роботи, яка полягає в установленні та підтримки </w:t>
      </w:r>
      <w:proofErr w:type="spellStart"/>
      <w:r w:rsidRPr="002B6C2B">
        <w:rPr>
          <w:rFonts w:eastAsia="Times New Roman" w:cs="Times New Roman"/>
          <w:sz w:val="24"/>
          <w:szCs w:val="24"/>
          <w:lang w:val="uk-UA" w:eastAsia="ru-RU"/>
        </w:rPr>
        <w:t>зв’язків</w:t>
      </w:r>
      <w:proofErr w:type="spellEnd"/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військових частин та інших військових формувань з органом місцевого самоврядування, колективами загальноосвітніх навчальних закладів, з метою проведення спільних заходів з військово-патріотичного виховання молоді, пропагування військової служби за контрактом; 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проведення навчально-польових зборів для учнів старших класів навчальних закладів  об’єднаної територіальної громади;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проведення роз’яснювальної та виховної роботи серед молоді в навчальних закладах, на підприємствах, в організаціях, установах сільської об’єднаної територіальної громади щодо відповідальності за ухилення від служби в Збройних Силах України;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-    організація та проведення урочистих проводів призовників на строкову військову службу до лав Збройних Сил України. 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   здійснення відбору кандидатів з числа призовників, які направлятимуться до військових частин для подальшого зарахування на військову службу за контрактом та у резерві;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-  організація роботи юнацьких військово-патріотичних груп  з питань проходження військової строкової служби , за контрактом та у військовому резерві;</w:t>
      </w:r>
    </w:p>
    <w:p w:rsidR="00617A3C" w:rsidRPr="002B6C2B" w:rsidRDefault="00617A3C" w:rsidP="00617A3C">
      <w:pPr>
        <w:ind w:left="36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-   проведення в базових військових частинах днів відкритих дверей з демонстрацією зброї та бойової техніки юнакам навчальних закладів  об’єднаної територіальної громади.                            </w:t>
      </w:r>
    </w:p>
    <w:p w:rsidR="00617A3C" w:rsidRDefault="00617A3C" w:rsidP="00617A3C">
      <w:pPr>
        <w:ind w:left="36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ind w:left="36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6</w:t>
      </w: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. Фінансове забезпечення Програми</w:t>
      </w:r>
    </w:p>
    <w:p w:rsidR="00617A3C" w:rsidRPr="002B6C2B" w:rsidRDefault="00617A3C" w:rsidP="00617A3C">
      <w:pPr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           Фінансування Програми здійснюватиметься за бюджету </w:t>
      </w:r>
      <w:bookmarkStart w:id="9" w:name="_Hlk62741791"/>
      <w:r w:rsidRPr="002B6C2B">
        <w:rPr>
          <w:rFonts w:eastAsia="Times New Roman" w:cs="Times New Roman"/>
          <w:sz w:val="24"/>
          <w:szCs w:val="24"/>
          <w:lang w:val="uk-UA" w:eastAsia="ru-RU"/>
        </w:rPr>
        <w:t>с</w:t>
      </w:r>
      <w:bookmarkEnd w:id="9"/>
      <w:r w:rsidRPr="002B6C2B">
        <w:rPr>
          <w:rFonts w:eastAsia="Times New Roman" w:cs="Times New Roman"/>
          <w:sz w:val="24"/>
          <w:szCs w:val="24"/>
          <w:lang w:val="uk-UA" w:eastAsia="ru-RU"/>
        </w:rPr>
        <w:t>ільської територіальної громади, інших джерел не заборонених чинним законодавством.</w:t>
      </w:r>
    </w:p>
    <w:p w:rsidR="00617A3C" w:rsidRPr="002B6C2B" w:rsidRDefault="00617A3C" w:rsidP="00617A3C">
      <w:pPr>
        <w:ind w:left="-15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ab/>
      </w:r>
      <w:r w:rsidRPr="002B6C2B">
        <w:rPr>
          <w:rFonts w:eastAsia="Times New Roman" w:cs="Times New Roman"/>
          <w:sz w:val="24"/>
          <w:szCs w:val="24"/>
          <w:lang w:val="uk-UA" w:eastAsia="ru-RU"/>
        </w:rPr>
        <w:tab/>
        <w:t xml:space="preserve">   Ресурсне забезпечення,  напрями діяльності та заходи Програми додаються. </w:t>
      </w:r>
    </w:p>
    <w:p w:rsidR="00617A3C" w:rsidRPr="002B6C2B" w:rsidRDefault="00617A3C" w:rsidP="00617A3C">
      <w:pPr>
        <w:ind w:left="-15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ind w:left="1770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>7.  Очікувані  результати реалізації Програми:</w:t>
      </w:r>
    </w:p>
    <w:p w:rsidR="00617A3C" w:rsidRPr="002B6C2B" w:rsidRDefault="00617A3C" w:rsidP="00617A3C">
      <w:pPr>
        <w:ind w:left="72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Результатом виконання програми є :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утвердження патріотизму до держави, в якій створюються умови вивчення основ допризовної підготовки молоді, військово-патріотичного виховання, основ нормативно-правових актів, розвитку Збройних Сил України та участі їх в миротворчих акціях;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створення умов для реалізації творчого потенціалу молоді, спрямованого на  духовний, моральний та фізичний розвиток;</w:t>
      </w:r>
    </w:p>
    <w:p w:rsidR="00617A3C" w:rsidRPr="002B6C2B" w:rsidRDefault="00617A3C" w:rsidP="00617A3C">
      <w:pPr>
        <w:numPr>
          <w:ilvl w:val="0"/>
          <w:numId w:val="2"/>
        </w:numPr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збільшення кількості молодих людей, які займатимуться різними видами робіт військово-патріотичного, військово-технічного напрямку та які виявлять бажання пов’язати  своє подальше життя зі службою в Збройних Силах України  в тому числі і на контрактній основі;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підвищення рівня патріотичного виховання молоді в навчальних закладах, її позитивного ставлення і готовності до військової служби та навчання у вищих військових навчальних закладах;</w:t>
      </w:r>
    </w:p>
    <w:p w:rsidR="00617A3C" w:rsidRPr="002B6C2B" w:rsidRDefault="00617A3C" w:rsidP="00617A3C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>створення додаткових робочих місць за рахунок переходу Збройних Сил України на комплектування військових підрозділів на контрактній основі.</w:t>
      </w:r>
    </w:p>
    <w:p w:rsidR="00617A3C" w:rsidRPr="002B6C2B" w:rsidRDefault="00617A3C" w:rsidP="00617A3C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Pr="002B6C2B" w:rsidRDefault="00617A3C" w:rsidP="00617A3C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:rsidR="00617A3C" w:rsidRPr="002B6C2B" w:rsidRDefault="00617A3C" w:rsidP="00617A3C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Pr="002B6C2B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  <w:r w:rsidRPr="002B6C2B">
        <w:rPr>
          <w:rFonts w:eastAsia="Times New Roman" w:cs="Times New Roman"/>
          <w:sz w:val="20"/>
          <w:szCs w:val="20"/>
          <w:lang w:val="uk-UA" w:eastAsia="ru-RU"/>
        </w:rPr>
        <w:lastRenderedPageBreak/>
        <w:t>Додаток 1</w:t>
      </w:r>
    </w:p>
    <w:p w:rsidR="00617A3C" w:rsidRPr="002B6C2B" w:rsidRDefault="00617A3C" w:rsidP="00617A3C">
      <w:pPr>
        <w:ind w:left="408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2B6C2B">
        <w:rPr>
          <w:rFonts w:eastAsia="Times New Roman" w:cs="Times New Roman"/>
          <w:sz w:val="20"/>
          <w:szCs w:val="20"/>
          <w:lang w:val="uk-UA" w:eastAsia="ru-RU"/>
        </w:rPr>
        <w:t xml:space="preserve">до Програми </w:t>
      </w:r>
      <w:r w:rsidRPr="002B6C2B">
        <w:rPr>
          <w:rFonts w:eastAsia="Times New Roman" w:cs="Times New Roman"/>
          <w:bCs/>
          <w:sz w:val="20"/>
          <w:szCs w:val="20"/>
          <w:lang w:val="uk-UA" w:eastAsia="ru-RU"/>
        </w:rPr>
        <w:t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Райгородської сільської територіальної громади на 2021-2025 роки.</w:t>
      </w:r>
    </w:p>
    <w:p w:rsidR="00617A3C" w:rsidRDefault="00617A3C" w:rsidP="00617A3C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17A3C" w:rsidRPr="002B6C2B" w:rsidRDefault="00617A3C" w:rsidP="00617A3C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Напрями діяльності та заходи Програми військово-патріотичного виховання, підготовки молоді до військової служби, </w:t>
      </w:r>
      <w:r w:rsidRPr="002B6C2B">
        <w:rPr>
          <w:rFonts w:eastAsia="Times New Roman" w:cs="Times New Roman"/>
          <w:b/>
          <w:bCs/>
          <w:sz w:val="24"/>
          <w:szCs w:val="24"/>
          <w:lang w:val="uk-UA" w:eastAsia="ru-RU"/>
        </w:rPr>
        <w:t>популяризація</w:t>
      </w:r>
      <w:r w:rsidRPr="002B6C2B">
        <w:rPr>
          <w:rFonts w:eastAsia="Times New Roman" w:cs="Times New Roman"/>
          <w:b/>
          <w:sz w:val="24"/>
          <w:szCs w:val="24"/>
          <w:lang w:val="uk-UA" w:eastAsia="ru-RU"/>
        </w:rPr>
        <w:t xml:space="preserve"> та пропагування військової служби за контрактом в Збройних Силах України Райгородської сільської територіальної громади на 2021-2025 роки.</w:t>
      </w: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4735"/>
        <w:gridCol w:w="1927"/>
        <w:gridCol w:w="1408"/>
        <w:gridCol w:w="10"/>
        <w:gridCol w:w="10"/>
        <w:gridCol w:w="1346"/>
        <w:gridCol w:w="38"/>
        <w:gridCol w:w="7"/>
      </w:tblGrid>
      <w:tr w:rsidR="00617A3C" w:rsidRPr="002B6C2B" w:rsidTr="0042420A">
        <w:trPr>
          <w:gridAfter w:val="1"/>
          <w:wAfter w:w="7" w:type="dxa"/>
          <w:jc w:val="center"/>
        </w:trPr>
        <w:tc>
          <w:tcPr>
            <w:tcW w:w="9884" w:type="dxa"/>
            <w:gridSpan w:val="8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І. Організація та матеріально-технічне забезпечення військово-патріотичного виховання молоді.</w:t>
            </w:r>
          </w:p>
        </w:tc>
      </w:tr>
      <w:tr w:rsidR="00617A3C" w:rsidRPr="002B6C2B" w:rsidTr="0042420A">
        <w:trPr>
          <w:jc w:val="center"/>
        </w:trPr>
        <w:tc>
          <w:tcPr>
            <w:tcW w:w="410" w:type="dxa"/>
            <w:vAlign w:val="center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№ з/п</w:t>
            </w:r>
          </w:p>
        </w:tc>
        <w:tc>
          <w:tcPr>
            <w:tcW w:w="4735" w:type="dxa"/>
            <w:vAlign w:val="center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Зміст заходу</w:t>
            </w:r>
          </w:p>
        </w:tc>
        <w:tc>
          <w:tcPr>
            <w:tcW w:w="1927" w:type="dxa"/>
            <w:vAlign w:val="center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Відповідальний за виконання </w:t>
            </w:r>
          </w:p>
        </w:tc>
        <w:tc>
          <w:tcPr>
            <w:tcW w:w="1408" w:type="dxa"/>
            <w:vAlign w:val="center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411" w:type="dxa"/>
            <w:gridSpan w:val="5"/>
            <w:vAlign w:val="center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Обсяги фінансування всього (грн)</w:t>
            </w:r>
          </w:p>
        </w:tc>
      </w:tr>
      <w:tr w:rsidR="00617A3C" w:rsidRPr="002B6C2B" w:rsidTr="0042420A">
        <w:trPr>
          <w:trHeight w:val="605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Проведення сільських 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спартакіад</w:t>
            </w:r>
            <w:proofErr w:type="spellEnd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 допризовної та призовної молоді з військово-прикладних видів спорту, взаємодія з організаціями українського козацтва, громадськими організаціями (у тому числі учасників (АТО) ООС.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9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562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2.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Відзначення державних свят та урочистостей, пов’язаних з боротьбою українського народу за свободу і незалежність Держави з використанням українських народних традицій та звичаїв за участю керівництва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територіальної громади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представників різних видів Збройних Сил України, ветеранів громадських організацій національно-патріотичного спрямування, громадських організацій учасників (АТО) ООС.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412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562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3.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Проведення 3-5 денних навчально-польових занять, доставка  юнаків на стрільбище. Проведення навчальних стрільб та екскурсій по військовим частинам.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3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19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8"/>
          <w:jc w:val="center"/>
        </w:trPr>
        <w:tc>
          <w:tcPr>
            <w:tcW w:w="7072" w:type="dxa"/>
            <w:gridSpan w:val="3"/>
            <w:vMerge w:val="restart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Всього: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52"/>
          <w:jc w:val="center"/>
        </w:trPr>
        <w:tc>
          <w:tcPr>
            <w:tcW w:w="7072" w:type="dxa"/>
            <w:gridSpan w:val="3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192"/>
          <w:jc w:val="center"/>
        </w:trPr>
        <w:tc>
          <w:tcPr>
            <w:tcW w:w="7072" w:type="dxa"/>
            <w:gridSpan w:val="3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156"/>
          <w:jc w:val="center"/>
        </w:trPr>
        <w:tc>
          <w:tcPr>
            <w:tcW w:w="7072" w:type="dxa"/>
            <w:gridSpan w:val="3"/>
            <w:vMerge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  <w:tcBorders>
              <w:bottom w:val="single" w:sz="4" w:space="0" w:color="auto"/>
            </w:tcBorders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gridAfter w:val="1"/>
          <w:wAfter w:w="7" w:type="dxa"/>
          <w:trHeight w:val="553"/>
          <w:jc w:val="center"/>
        </w:trPr>
        <w:tc>
          <w:tcPr>
            <w:tcW w:w="9884" w:type="dxa"/>
            <w:gridSpan w:val="8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/>
                <w:sz w:val="22"/>
                <w:lang w:eastAsia="ru-RU"/>
              </w:rPr>
              <w:t>ІІ</w:t>
            </w:r>
            <w:r w:rsidRPr="002B6C2B">
              <w:rPr>
                <w:rFonts w:eastAsia="Times New Roman" w:cs="Times New Roman"/>
                <w:b/>
                <w:sz w:val="22"/>
                <w:lang w:val="uk-UA" w:eastAsia="ru-RU"/>
              </w:rPr>
              <w:t>. Призов громадян на строкову військову службу,  військову службу за контрактом та у військовому резерві Збройних Сил України.</w:t>
            </w:r>
          </w:p>
        </w:tc>
      </w:tr>
      <w:tr w:rsidR="00617A3C" w:rsidRPr="002B6C2B" w:rsidTr="0042420A">
        <w:trPr>
          <w:trHeight w:val="562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Придбання ПЕОМ, оргтехніки та мультимедійного забезпечення    для проведення 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професійно</w:t>
            </w:r>
            <w:proofErr w:type="spellEnd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- психологічного відбору призовників на строкову військову службу, кандидатів на військову службу за контрактом та у військовому резерві, меблів, металевих шаф (чарунок, сейфів), стільців, лав, елементів системи кондиціонування повітря, засобів освітлення та пожежогасіння.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3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512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50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2.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Проведення ремонтних робіт (закупівля будівельних матеріалів, фарбування фасаду) призовної дільниці.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, 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lastRenderedPageBreak/>
              <w:t>Гайсинський РТЦК та СП</w:t>
            </w: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3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390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390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609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3.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Придбання 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мотокос</w:t>
            </w:r>
            <w:proofErr w:type="spellEnd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бензопил, електроінструментів, господарчого інвентарю, інших приладів, пристроїв та обладнання для забезпечення господарчої діяльності та утримання приміщення Гайсинського РТЦК та СП в належному стані.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6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20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4.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Косметичний ремонт, утеплення та фарбування фасаду будівлі Гайсинського РТЦК та СП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2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562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5.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Виділення необхідної кількості автомобілів та забезпечення їх паливно-мастильними матеріалами для проведення оповіщення на території громади військовозобов’язаних, резервістів оперативного резерву першої та другої черги, призовників, шляхом виїзду в 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старостинські</w:t>
            </w:r>
            <w:proofErr w:type="spellEnd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 округи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Райгородська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43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4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550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603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6.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Перекриття (ремонт) даху, заміна (ремонт) водостоків будівлі Гайсинського РТЦК та СП та будівлі призовної дільниці Гайсинського РТЦК та СП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70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59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64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98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7.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Придбання резервного джерела  живлення потужністю 10 кВт              3-х фазний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19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32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01" w:type="dxa"/>
            <w:gridSpan w:val="4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6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8.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Проведення урочистих проводів призовників на строкову військову службу до лав Збройних Сил України, витрати на перевезення під час проведення призову та приписки.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27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3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21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4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9.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Придбання канцелярського приладдя, офісного паперу для роботи комісій (медичної, призовної) по призову, виготовлення комплекту бланків для оформлення особових справ призовників, заправка, ремонт і обслуговування картриджів та іншої комп’ютерної техніки.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64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17A3C" w:rsidRPr="002B6C2B" w:rsidTr="0042420A">
        <w:trPr>
          <w:trHeight w:val="12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17A3C" w:rsidRPr="002B6C2B" w:rsidTr="0042420A">
        <w:trPr>
          <w:trHeight w:val="732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17A3C" w:rsidRPr="002B6C2B" w:rsidTr="0042420A">
        <w:trPr>
          <w:trHeight w:val="562"/>
          <w:jc w:val="center"/>
        </w:trPr>
        <w:tc>
          <w:tcPr>
            <w:tcW w:w="410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10.</w:t>
            </w:r>
          </w:p>
        </w:tc>
        <w:tc>
          <w:tcPr>
            <w:tcW w:w="4735" w:type="dxa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Оновлення рекламного банера Гайсинського РТЦК та СП, виготовлення  рекламної продукції про військову службу в Збройних силах України.</w:t>
            </w:r>
          </w:p>
        </w:tc>
        <w:tc>
          <w:tcPr>
            <w:tcW w:w="1927" w:type="dxa"/>
            <w:vMerge w:val="restart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Райгородська сільська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територіальна громада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19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9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355"/>
          <w:jc w:val="center"/>
        </w:trPr>
        <w:tc>
          <w:tcPr>
            <w:tcW w:w="410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4735" w:type="dxa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927" w:type="dxa"/>
            <w:vMerge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6"/>
          <w:jc w:val="center"/>
        </w:trPr>
        <w:tc>
          <w:tcPr>
            <w:tcW w:w="7072" w:type="dxa"/>
            <w:gridSpan w:val="3"/>
            <w:vMerge w:val="restart"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Всього:</w:t>
            </w:r>
          </w:p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</w:p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ab/>
            </w: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207"/>
          <w:jc w:val="center"/>
        </w:trPr>
        <w:tc>
          <w:tcPr>
            <w:tcW w:w="7072" w:type="dxa"/>
            <w:gridSpan w:val="3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155"/>
          <w:jc w:val="center"/>
        </w:trPr>
        <w:tc>
          <w:tcPr>
            <w:tcW w:w="7072" w:type="dxa"/>
            <w:gridSpan w:val="3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42420A">
        <w:trPr>
          <w:trHeight w:val="387"/>
          <w:jc w:val="center"/>
        </w:trPr>
        <w:tc>
          <w:tcPr>
            <w:tcW w:w="7072" w:type="dxa"/>
            <w:gridSpan w:val="3"/>
            <w:vMerge/>
          </w:tcPr>
          <w:p w:rsidR="00617A3C" w:rsidRPr="002B6C2B" w:rsidRDefault="00617A3C" w:rsidP="0042420A">
            <w:pPr>
              <w:jc w:val="both"/>
              <w:rPr>
                <w:rFonts w:eastAsia="Times New Roman" w:cs="Times New Roman"/>
                <w:sz w:val="22"/>
                <w:lang w:val="uk-UA" w:eastAsia="ru-RU"/>
              </w:rPr>
            </w:pPr>
          </w:p>
        </w:tc>
        <w:tc>
          <w:tcPr>
            <w:tcW w:w="1408" w:type="dxa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411" w:type="dxa"/>
            <w:gridSpan w:val="5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7A3C" w:rsidRPr="002B6C2B" w:rsidTr="00617A3C">
        <w:trPr>
          <w:gridAfter w:val="2"/>
          <w:wAfter w:w="45" w:type="dxa"/>
          <w:jc w:val="center"/>
        </w:trPr>
        <w:tc>
          <w:tcPr>
            <w:tcW w:w="8500" w:type="dxa"/>
            <w:gridSpan w:val="6"/>
          </w:tcPr>
          <w:p w:rsidR="00617A3C" w:rsidRPr="002B6C2B" w:rsidRDefault="00617A3C" w:rsidP="0042420A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2B6C2B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Всього на реалізацію Програми на 202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Pr="002B6C2B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 xml:space="preserve">-2025 роки </w:t>
            </w:r>
          </w:p>
        </w:tc>
        <w:tc>
          <w:tcPr>
            <w:tcW w:w="1346" w:type="dxa"/>
          </w:tcPr>
          <w:p w:rsidR="00617A3C" w:rsidRPr="00617A3C" w:rsidRDefault="00617A3C" w:rsidP="0042420A">
            <w:pPr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617A3C" w:rsidRPr="002B6C2B" w:rsidRDefault="00617A3C" w:rsidP="00617A3C">
      <w:pPr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Секретар сільської ради                                                                             </w:t>
      </w:r>
      <w:r w:rsidRPr="002B6C2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І. Менюк </w:t>
      </w: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</w:p>
    <w:p w:rsidR="00617A3C" w:rsidRPr="002B6C2B" w:rsidRDefault="00617A3C" w:rsidP="00617A3C">
      <w:pPr>
        <w:jc w:val="right"/>
        <w:rPr>
          <w:rFonts w:eastAsia="Times New Roman" w:cs="Times New Roman"/>
          <w:sz w:val="20"/>
          <w:szCs w:val="20"/>
          <w:lang w:val="uk-UA" w:eastAsia="ru-RU"/>
        </w:rPr>
      </w:pPr>
      <w:r w:rsidRPr="002B6C2B">
        <w:rPr>
          <w:rFonts w:eastAsia="Times New Roman" w:cs="Times New Roman"/>
          <w:sz w:val="20"/>
          <w:szCs w:val="20"/>
          <w:lang w:val="uk-UA" w:eastAsia="ru-RU"/>
        </w:rPr>
        <w:lastRenderedPageBreak/>
        <w:t>Додаток 2</w:t>
      </w:r>
    </w:p>
    <w:p w:rsidR="00617A3C" w:rsidRPr="002B6C2B" w:rsidRDefault="00617A3C" w:rsidP="00617A3C">
      <w:pPr>
        <w:ind w:left="4080"/>
        <w:jc w:val="both"/>
        <w:rPr>
          <w:rFonts w:eastAsia="Times New Roman" w:cs="Times New Roman"/>
          <w:bCs/>
          <w:sz w:val="20"/>
          <w:szCs w:val="20"/>
          <w:lang w:val="uk-UA" w:eastAsia="ru-RU"/>
        </w:rPr>
      </w:pPr>
      <w:r w:rsidRPr="002B6C2B">
        <w:rPr>
          <w:rFonts w:eastAsia="Times New Roman" w:cs="Times New Roman"/>
          <w:sz w:val="20"/>
          <w:szCs w:val="20"/>
          <w:lang w:val="uk-UA" w:eastAsia="ru-RU"/>
        </w:rPr>
        <w:t xml:space="preserve">До Програми </w:t>
      </w:r>
      <w:r w:rsidRPr="002B6C2B">
        <w:rPr>
          <w:rFonts w:eastAsia="Times New Roman" w:cs="Times New Roman"/>
          <w:bCs/>
          <w:sz w:val="20"/>
          <w:szCs w:val="20"/>
          <w:lang w:val="uk-UA" w:eastAsia="ru-RU"/>
        </w:rPr>
        <w:t xml:space="preserve"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</w:t>
      </w:r>
      <w:bookmarkStart w:id="10" w:name="_Hlk62743352"/>
      <w:r w:rsidRPr="002B6C2B">
        <w:rPr>
          <w:rFonts w:eastAsia="Times New Roman" w:cs="Times New Roman"/>
          <w:bCs/>
          <w:sz w:val="20"/>
          <w:szCs w:val="20"/>
          <w:lang w:val="uk-UA" w:eastAsia="ru-RU"/>
        </w:rPr>
        <w:t xml:space="preserve">Райгородської сільської територіальної </w:t>
      </w:r>
      <w:bookmarkEnd w:id="10"/>
      <w:r w:rsidRPr="002B6C2B">
        <w:rPr>
          <w:rFonts w:eastAsia="Times New Roman" w:cs="Times New Roman"/>
          <w:bCs/>
          <w:sz w:val="20"/>
          <w:szCs w:val="20"/>
          <w:lang w:val="uk-UA" w:eastAsia="ru-RU"/>
        </w:rPr>
        <w:t>громади на 2021-2025 роки</w:t>
      </w:r>
      <w:r w:rsidRPr="002B6C2B">
        <w:rPr>
          <w:rFonts w:eastAsia="Times New Roman" w:cs="Times New Roman"/>
          <w:sz w:val="20"/>
          <w:szCs w:val="20"/>
          <w:lang w:val="uk-UA" w:eastAsia="ru-RU"/>
        </w:rPr>
        <w:t>.</w:t>
      </w:r>
    </w:p>
    <w:p w:rsidR="00617A3C" w:rsidRDefault="00617A3C" w:rsidP="00617A3C">
      <w:pPr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617A3C" w:rsidRPr="002B6C2B" w:rsidRDefault="00617A3C" w:rsidP="00617A3C">
      <w:pPr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2B6C2B">
        <w:rPr>
          <w:rFonts w:eastAsia="Times New Roman" w:cs="Times New Roman"/>
          <w:b/>
          <w:bCs/>
          <w:sz w:val="24"/>
          <w:szCs w:val="24"/>
          <w:lang w:val="uk-UA" w:eastAsia="ru-RU"/>
        </w:rPr>
        <w:t>Заходи по організації проведення 3-5 денних навчально-польових занять в Райгородській сільській територіальній громаді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492"/>
        <w:gridCol w:w="1395"/>
        <w:gridCol w:w="4180"/>
      </w:tblGrid>
      <w:tr w:rsidR="00617A3C" w:rsidRPr="002B6C2B" w:rsidTr="0042420A">
        <w:tc>
          <w:tcPr>
            <w:tcW w:w="562" w:type="dxa"/>
            <w:shd w:val="clear" w:color="auto" w:fill="auto"/>
          </w:tcPr>
          <w:p w:rsidR="00617A3C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№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</w:t>
            </w:r>
            <w:r w:rsidRPr="002B6C2B">
              <w:rPr>
                <w:rFonts w:eastAsia="Times New Roman" w:cs="Times New Roman"/>
                <w:sz w:val="22"/>
                <w:lang w:val="en-US" w:eastAsia="ru-RU"/>
              </w:rPr>
              <w:t>/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Зміст заходу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Термін виконання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Відповідальні за виконання</w:t>
            </w:r>
          </w:p>
        </w:tc>
      </w:tr>
      <w:tr w:rsidR="00617A3C" w:rsidRPr="00D45514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Визначення строків проведення 3-5 денних навчально-польових занять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Квітень-травень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2.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Розробка та узгодження планів проведення 3-5 денних навчально-польових занять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Квітень-травень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Гайсинський РТЦК та СП</w:t>
            </w:r>
          </w:p>
        </w:tc>
      </w:tr>
      <w:tr w:rsidR="00617A3C" w:rsidRPr="00D45514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3.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Відпрацювання та затвердження конспектів проведення занять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Квітень-травень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,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Гайсинський РТЦК та СП, директори навчальних закладів, викладачі допризовної підготовки</w:t>
            </w:r>
          </w:p>
        </w:tc>
      </w:tr>
      <w:tr w:rsidR="00617A3C" w:rsidRPr="00D45514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4.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Виготовлення макетів, мішеней, нарукавних 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пов</w:t>
            </w:r>
            <w:proofErr w:type="spellEnd"/>
            <w:r w:rsidRPr="002B6C2B">
              <w:rPr>
                <w:rFonts w:eastAsia="Times New Roman" w:cs="Times New Roman"/>
                <w:sz w:val="22"/>
                <w:lang w:eastAsia="ru-RU"/>
              </w:rPr>
              <w:t>’</w:t>
            </w:r>
            <w:proofErr w:type="spellStart"/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язок</w:t>
            </w:r>
            <w:proofErr w:type="spellEnd"/>
            <w:r w:rsidRPr="002B6C2B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та іншого необхідного приладдя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,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директори навчальних закладів, викладачі допризовної підготовки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5.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Виготовлення необхідних бланків та формалізованих документів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 директори навчальних закладів</w:t>
            </w:r>
          </w:p>
        </w:tc>
      </w:tr>
      <w:tr w:rsidR="00617A3C" w:rsidRPr="00D45514" w:rsidTr="0042420A">
        <w:trPr>
          <w:trHeight w:val="984"/>
        </w:trPr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6.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Забезпечення медикаментами під час проведення зборів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Відділ освіти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 директори навчальних закладів, </w:t>
            </w: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головний лікар Гайсинської ЦРЛ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7.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Виявлення та закріплення за навчальними закладами юнаків, які не мають базової середньої освіти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Гайсинський РТЦК та СП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8.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Видача наказу про проведення 3-5 денних навчально-польових  занять та стрільб з автомату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Травень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Відділ освіти 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Гайсинський РТЦК та СП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9.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Перевезення юнаків до місць проведення занять, стрільб та у зворотному напрямку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Під час занять 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Директори навчальних закладів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10.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Організація стрільб з автомата 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Під час занять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Відділ освіти 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</w:t>
            </w:r>
            <w:r>
              <w:rPr>
                <w:rFonts w:eastAsia="Times New Roman" w:cs="Times New Roman"/>
                <w:bCs/>
                <w:sz w:val="22"/>
                <w:lang w:val="uk-UA" w:eastAsia="ru-RU"/>
              </w:rPr>
              <w:t>ТГ</w:t>
            </w: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, директори навчальних закладів, командири військових частин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11.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Організація занять з основ цивільної оборони, вогневої, тактичної, прикладної фізичної та медико-санітарної підготовки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Під час занять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Керівники занять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12.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Підведення підсумків занять, доведення оцінок, оформлення звітної документації, звітування за підпорядкованістю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Після занять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Керівники занять, викладачі допризовної підготовки</w:t>
            </w:r>
          </w:p>
        </w:tc>
      </w:tr>
      <w:tr w:rsidR="00617A3C" w:rsidRPr="002B6C2B" w:rsidTr="0042420A">
        <w:tc>
          <w:tcPr>
            <w:tcW w:w="562" w:type="dxa"/>
            <w:shd w:val="clear" w:color="auto" w:fill="auto"/>
          </w:tcPr>
          <w:p w:rsidR="00617A3C" w:rsidRPr="002B6C2B" w:rsidRDefault="00617A3C" w:rsidP="0042420A">
            <w:pPr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13.</w:t>
            </w:r>
          </w:p>
        </w:tc>
        <w:tc>
          <w:tcPr>
            <w:tcW w:w="3492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 xml:space="preserve">Узагальнення підсумків занять, здійснення відповідних відміток в особових справах допризовників, про проходження курсу допризовної підготовки </w:t>
            </w:r>
          </w:p>
        </w:tc>
        <w:tc>
          <w:tcPr>
            <w:tcW w:w="1395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sz w:val="22"/>
                <w:lang w:val="uk-UA" w:eastAsia="ru-RU"/>
              </w:rPr>
              <w:t>Червень 2021-2025</w:t>
            </w:r>
          </w:p>
        </w:tc>
        <w:tc>
          <w:tcPr>
            <w:tcW w:w="4180" w:type="dxa"/>
            <w:shd w:val="clear" w:color="auto" w:fill="auto"/>
          </w:tcPr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Відділ освіти Райгородської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 xml:space="preserve"> сільської територіальної громади,</w:t>
            </w:r>
          </w:p>
          <w:p w:rsidR="00617A3C" w:rsidRPr="002B6C2B" w:rsidRDefault="00617A3C" w:rsidP="0042420A">
            <w:pPr>
              <w:jc w:val="center"/>
              <w:rPr>
                <w:rFonts w:eastAsia="Times New Roman" w:cs="Times New Roman"/>
                <w:bCs/>
                <w:sz w:val="22"/>
                <w:lang w:val="uk-UA" w:eastAsia="ru-RU"/>
              </w:rPr>
            </w:pPr>
            <w:r w:rsidRPr="002B6C2B">
              <w:rPr>
                <w:rFonts w:eastAsia="Times New Roman" w:cs="Times New Roman"/>
                <w:bCs/>
                <w:sz w:val="22"/>
                <w:lang w:val="uk-UA" w:eastAsia="ru-RU"/>
              </w:rPr>
              <w:t>Гайсинський РТЦК та СП, директори навчальних закладів, викладачі допризовної підготовки</w:t>
            </w:r>
          </w:p>
        </w:tc>
      </w:tr>
    </w:tbl>
    <w:p w:rsidR="00617A3C" w:rsidRDefault="00617A3C" w:rsidP="00617A3C">
      <w:pPr>
        <w:widowControl w:val="0"/>
        <w:shd w:val="clear" w:color="auto" w:fill="FFFFFF"/>
        <w:ind w:right="-1"/>
      </w:pPr>
      <w:r w:rsidRPr="002B6C2B">
        <w:rPr>
          <w:rFonts w:eastAsia="Times New Roman" w:cs="Times New Roman"/>
          <w:sz w:val="24"/>
          <w:szCs w:val="24"/>
          <w:lang w:val="uk-UA" w:eastAsia="ru-RU"/>
        </w:rPr>
        <w:t xml:space="preserve">Секретар сільської ради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>Інна МЕНЮК</w:t>
      </w:r>
      <w:bookmarkStart w:id="11" w:name="_GoBack"/>
      <w:bookmarkEnd w:id="11"/>
    </w:p>
    <w:sectPr w:rsidR="00617A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6B9"/>
    <w:multiLevelType w:val="hybridMultilevel"/>
    <w:tmpl w:val="7652C38A"/>
    <w:lvl w:ilvl="0" w:tplc="57AA763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2" w15:restartNumberingAfterBreak="0">
    <w:nsid w:val="6DAB1644"/>
    <w:multiLevelType w:val="hybridMultilevel"/>
    <w:tmpl w:val="733886E2"/>
    <w:lvl w:ilvl="0" w:tplc="507AB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922C5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BC9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02CA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249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C8B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88B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B4C7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1A5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3C"/>
    <w:rsid w:val="0061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BE9B"/>
  <w15:chartTrackingRefBased/>
  <w15:docId w15:val="{3050335E-38C0-4137-B0AC-C6792E2D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A3C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7A3C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617A3C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12907</Words>
  <Characters>7358</Characters>
  <Application>Microsoft Office Word</Application>
  <DocSecurity>0</DocSecurity>
  <Lines>61</Lines>
  <Paragraphs>40</Paragraphs>
  <ScaleCrop>false</ScaleCrop>
  <Company/>
  <LinksUpToDate>false</LinksUpToDate>
  <CharactersWithSpaces>20225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2022-01-10T13:52:00Z</dcterms:created>
  <dcterms:modified xsi:type="dcterms:W3CDTF">2022-01-10T13:53:00Z</dcterms:modified>
</cp:coreProperties>
</file>