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B1" w:rsidRDefault="009C16B1" w:rsidP="009C16B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Обґрунтування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техн</w:t>
      </w:r>
      <w:proofErr w:type="gram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>ічних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якісних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характеристик предмета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закупівлі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розміру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бюджетного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призначення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очікуваної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вартості</w:t>
      </w:r>
      <w:proofErr w:type="spellEnd"/>
      <w:r>
        <w:rPr>
          <w:b/>
          <w:bCs/>
          <w:color w:val="222222"/>
          <w:bdr w:val="none" w:sz="0" w:space="0" w:color="auto" w:frame="1"/>
          <w:shd w:val="clear" w:color="auto" w:fill="FFFFFF"/>
        </w:rPr>
        <w:t xml:space="preserve"> предмета </w:t>
      </w:r>
      <w:proofErr w:type="spellStart"/>
      <w:r>
        <w:rPr>
          <w:b/>
          <w:bCs/>
          <w:color w:val="222222"/>
          <w:bdr w:val="none" w:sz="0" w:space="0" w:color="auto" w:frame="1"/>
          <w:shd w:val="clear" w:color="auto" w:fill="FFFFFF"/>
        </w:rPr>
        <w:t>закупівлі</w:t>
      </w:r>
      <w:proofErr w:type="spellEnd"/>
    </w:p>
    <w:p w:rsidR="009C16B1" w:rsidRDefault="009C16B1" w:rsidP="009C16B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color w:val="222222"/>
          <w:bdr w:val="none" w:sz="0" w:space="0" w:color="auto" w:frame="1"/>
          <w:shd w:val="clear" w:color="auto" w:fill="FFFFFF"/>
        </w:rPr>
        <w:t>(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відповідно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color w:val="222222"/>
          <w:bdr w:val="none" w:sz="0" w:space="0" w:color="auto" w:frame="1"/>
          <w:shd w:val="clear" w:color="auto" w:fill="FFFFFF"/>
        </w:rPr>
        <w:t>до</w:t>
      </w:r>
      <w:proofErr w:type="gramEnd"/>
      <w:r>
        <w:rPr>
          <w:color w:val="222222"/>
          <w:bdr w:val="none" w:sz="0" w:space="0" w:color="auto" w:frame="1"/>
          <w:shd w:val="clear" w:color="auto" w:fill="FFFFFF"/>
        </w:rPr>
        <w:t xml:space="preserve"> пункту 4</w:t>
      </w:r>
      <w:r>
        <w:rPr>
          <w:color w:val="222222"/>
          <w:bdr w:val="none" w:sz="0" w:space="0" w:color="auto" w:frame="1"/>
          <w:shd w:val="clear" w:color="auto" w:fill="FFFFFF"/>
          <w:vertAlign w:val="superscript"/>
        </w:rPr>
        <w:t>1 </w:t>
      </w:r>
      <w:r>
        <w:rPr>
          <w:color w:val="222222"/>
          <w:bdr w:val="none" w:sz="0" w:space="0" w:color="auto" w:frame="1"/>
          <w:shd w:val="clear" w:color="auto" w:fill="FFFFFF"/>
        </w:rPr>
        <w:t xml:space="preserve">постанови КМУ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11.10.2016 № 710 «Про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ефективне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використання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державних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коштів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>» (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зі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222222"/>
          <w:bdr w:val="none" w:sz="0" w:space="0" w:color="auto" w:frame="1"/>
          <w:shd w:val="clear" w:color="auto" w:fill="FFFFFF"/>
        </w:rPr>
        <w:t>змінами</w:t>
      </w:r>
      <w:proofErr w:type="spellEnd"/>
      <w:r>
        <w:rPr>
          <w:color w:val="222222"/>
          <w:bdr w:val="none" w:sz="0" w:space="0" w:color="auto" w:frame="1"/>
          <w:shd w:val="clear" w:color="auto" w:fill="FFFFFF"/>
        </w:rPr>
        <w:t>))</w:t>
      </w:r>
    </w:p>
    <w:p w:rsidR="009C16B1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1.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  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Найменування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місцезнаходження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ідентифікаційний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код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замовника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Єдиному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державному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реє</w:t>
      </w:r>
      <w:proofErr w:type="gram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стр</w:t>
      </w:r>
      <w:proofErr w:type="gram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юридичних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осіб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фізичних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осіб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-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підприємців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громадських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формувань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його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категорія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: </w:t>
      </w:r>
    </w:p>
    <w:p w:rsidR="000A0556" w:rsidRPr="00C118E7" w:rsidRDefault="009C16B1" w:rsidP="000A055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b/>
          <w:sz w:val="22"/>
          <w:szCs w:val="22"/>
          <w:lang w:val="uk-UA"/>
        </w:rPr>
        <w:t>Тростянецький селищний комунальний центр культури та дозвілля</w:t>
      </w:r>
      <w:r w:rsidR="000A0556"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</w:p>
    <w:p w:rsidR="000A0556" w:rsidRPr="00C118E7" w:rsidRDefault="000A0556" w:rsidP="000A0556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</w:rPr>
        <w:t>код за ЄДРПОУ – 4</w:t>
      </w:r>
      <w:r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1722243 </w:t>
      </w:r>
    </w:p>
    <w:p w:rsidR="000A0556" w:rsidRPr="00C118E7" w:rsidRDefault="000A0556" w:rsidP="000A055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sz w:val="22"/>
          <w:szCs w:val="22"/>
          <w:lang w:val="uk-UA"/>
        </w:rPr>
        <w:t xml:space="preserve">24300 Вінницька область Тростянецький район </w:t>
      </w:r>
      <w:proofErr w:type="spellStart"/>
      <w:r w:rsidRPr="00C118E7">
        <w:rPr>
          <w:sz w:val="22"/>
          <w:szCs w:val="22"/>
          <w:lang w:val="uk-UA"/>
        </w:rPr>
        <w:t>смт</w:t>
      </w:r>
      <w:proofErr w:type="spellEnd"/>
      <w:r w:rsidRPr="00C118E7">
        <w:rPr>
          <w:sz w:val="22"/>
          <w:szCs w:val="22"/>
          <w:lang w:val="uk-UA"/>
        </w:rPr>
        <w:t xml:space="preserve"> Тростянець вулиця  Соборна ,56</w:t>
      </w: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 </w:t>
      </w:r>
    </w:p>
    <w:p w:rsidR="009C16B1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uk-UA"/>
        </w:rPr>
      </w:pPr>
      <w:r w:rsidRPr="00C118E7">
        <w:rPr>
          <w:sz w:val="22"/>
          <w:szCs w:val="22"/>
          <w:lang w:val="uk-UA"/>
        </w:rPr>
        <w:t>Категорія 3</w:t>
      </w:r>
      <w:r w:rsidR="00C118E7" w:rsidRPr="00C118E7">
        <w:rPr>
          <w:sz w:val="22"/>
          <w:szCs w:val="22"/>
          <w:lang w:val="uk-UA"/>
        </w:rPr>
        <w:t xml:space="preserve"> -</w:t>
      </w:r>
      <w:r w:rsidRPr="00C118E7">
        <w:rPr>
          <w:sz w:val="22"/>
          <w:szCs w:val="22"/>
          <w:lang w:val="uk-UA"/>
        </w:rPr>
        <w:t xml:space="preserve"> юридична особа, яка забезпечує потреби держави або територіальної громади</w:t>
      </w:r>
      <w:r w:rsidR="00C118E7" w:rsidRPr="00C118E7">
        <w:rPr>
          <w:sz w:val="22"/>
          <w:szCs w:val="22"/>
          <w:lang w:val="uk-UA"/>
        </w:rPr>
        <w:t>.</w:t>
      </w:r>
    </w:p>
    <w:p w:rsidR="009C16B1" w:rsidRPr="00C118E7" w:rsidRDefault="009C16B1" w:rsidP="00C118E7">
      <w:pPr>
        <w:spacing w:after="0" w:line="240" w:lineRule="auto"/>
        <w:rPr>
          <w:rFonts w:ascii="Times New Roman" w:hAnsi="Times New Roman" w:cs="Times New Roman"/>
          <w:bdr w:val="none" w:sz="0" w:space="0" w:color="auto" w:frame="1"/>
          <w:shd w:val="clear" w:color="auto" w:fill="F0F5F2"/>
          <w:lang w:val="uk-UA"/>
        </w:rPr>
      </w:pPr>
      <w:r w:rsidRPr="00C118E7">
        <w:rPr>
          <w:rFonts w:ascii="Times New Roman" w:hAnsi="Times New Roman" w:cs="Times New Roman"/>
          <w:b/>
          <w:bCs/>
          <w:color w:val="222222"/>
          <w:bdr w:val="none" w:sz="0" w:space="0" w:color="auto" w:frame="1"/>
          <w:shd w:val="clear" w:color="auto" w:fill="FFFFFF"/>
          <w:lang w:val="uk-UA"/>
        </w:rPr>
        <w:t xml:space="preserve"> 2.</w:t>
      </w:r>
      <w:r w:rsidRPr="00C118E7">
        <w:rPr>
          <w:rFonts w:ascii="Times New Roman" w:hAnsi="Times New Roman" w:cs="Times New Roman"/>
          <w:color w:val="333333"/>
          <w:bdr w:val="none" w:sz="0" w:space="0" w:color="auto" w:frame="1"/>
          <w:shd w:val="clear" w:color="auto" w:fill="FFFFFF"/>
        </w:rPr>
        <w:t> </w:t>
      </w:r>
      <w:r w:rsidRPr="00C118E7">
        <w:rPr>
          <w:rFonts w:ascii="Times New Roman" w:hAnsi="Times New Roman" w:cs="Times New Roman"/>
          <w:b/>
          <w:bCs/>
          <w:color w:val="222222"/>
          <w:bdr w:val="none" w:sz="0" w:space="0" w:color="auto" w:frame="1"/>
          <w:shd w:val="clear" w:color="auto" w:fill="FFFFFF"/>
          <w:lang w:val="uk-UA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 </w:t>
      </w:r>
      <w:r w:rsidRPr="00C118E7">
        <w:rPr>
          <w:rFonts w:ascii="Times New Roman" w:hAnsi="Times New Roman" w:cs="Times New Roman"/>
          <w:b/>
          <w:bCs/>
          <w:color w:val="222222"/>
          <w:bdr w:val="none" w:sz="0" w:space="0" w:color="auto" w:frame="1"/>
          <w:shd w:val="clear" w:color="auto" w:fill="FFFFFF"/>
        </w:rPr>
        <w:t> </w:t>
      </w:r>
      <w:r w:rsidRPr="00C118E7">
        <w:rPr>
          <w:rFonts w:ascii="Times New Roman" w:hAnsi="Times New Roman" w:cs="Times New Roman"/>
          <w:bdr w:val="none" w:sz="0" w:space="0" w:color="auto" w:frame="1"/>
          <w:shd w:val="clear" w:color="auto" w:fill="F0F5F2"/>
          <w:lang w:val="uk-UA"/>
        </w:rPr>
        <w:t>Електрична енергія «ДК 021:2015 : 09310000-5 - Електрична енергія»</w:t>
      </w:r>
    </w:p>
    <w:p w:rsidR="000A0556" w:rsidRPr="000A0556" w:rsidRDefault="000A0556" w:rsidP="000A055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Опис</w:t>
      </w:r>
      <w:proofErr w:type="spell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окремої</w:t>
      </w:r>
      <w:proofErr w:type="spell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частини</w:t>
      </w:r>
      <w:proofErr w:type="spell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або</w:t>
      </w:r>
      <w:proofErr w:type="spell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частин</w:t>
      </w:r>
      <w:proofErr w:type="spell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 xml:space="preserve"> предмета </w:t>
      </w:r>
      <w:proofErr w:type="spell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закупі</w:t>
      </w:r>
      <w:proofErr w:type="gramStart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вл</w:t>
      </w:r>
      <w:proofErr w:type="gramEnd"/>
      <w:r w:rsidRPr="00C118E7">
        <w:rPr>
          <w:rFonts w:ascii="Times New Roman" w:eastAsia="Times New Roman" w:hAnsi="Times New Roman" w:cs="Times New Roman"/>
          <w:b/>
          <w:bCs/>
          <w:lang w:eastAsia="ru-RU"/>
        </w:rPr>
        <w:t>і</w:t>
      </w:r>
      <w:proofErr w:type="spellEnd"/>
    </w:p>
    <w:p w:rsidR="000A0556" w:rsidRPr="000A0556" w:rsidRDefault="000A0556" w:rsidP="000A055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118E7">
        <w:rPr>
          <w:rFonts w:ascii="Times New Roman" w:eastAsia="Times New Roman" w:hAnsi="Times New Roman" w:cs="Times New Roman"/>
          <w:lang w:val="uk-UA" w:eastAsia="ru-RU"/>
        </w:rPr>
        <w:t xml:space="preserve">       </w:t>
      </w:r>
      <w:r w:rsidRPr="000A0556">
        <w:rPr>
          <w:rFonts w:ascii="Times New Roman" w:eastAsia="Times New Roman" w:hAnsi="Times New Roman" w:cs="Times New Roman"/>
          <w:lang w:eastAsia="ru-RU"/>
        </w:rPr>
        <w:t>40000 кВт</w:t>
      </w:r>
      <w:r w:rsidRPr="00C118E7">
        <w:rPr>
          <w:rFonts w:ascii="Times New Roman" w:eastAsia="Times New Roman" w:hAnsi="Times New Roman" w:cs="Times New Roman"/>
          <w:lang w:val="uk-UA" w:eastAsia="ru-RU"/>
        </w:rPr>
        <w:t xml:space="preserve"> -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Електрична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енергія</w:t>
      </w:r>
      <w:proofErr w:type="spellEnd"/>
    </w:p>
    <w:p w:rsidR="000A0556" w:rsidRPr="000A0556" w:rsidRDefault="000A0556" w:rsidP="000A055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Місце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поставки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товарів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або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місце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виконання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робіт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чи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надання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послуг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: 24300,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Україна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Вінницька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смт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Тростянець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вул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Соборна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>, 56</w:t>
      </w:r>
    </w:p>
    <w:p w:rsidR="000A0556" w:rsidRPr="00C118E7" w:rsidRDefault="000A0556" w:rsidP="000A055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A0556">
        <w:rPr>
          <w:rFonts w:ascii="Times New Roman" w:eastAsia="Times New Roman" w:hAnsi="Times New Roman" w:cs="Times New Roman"/>
          <w:lang w:eastAsia="ru-RU"/>
        </w:rPr>
        <w:t xml:space="preserve">Строк поставки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товарів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виконання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робіт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чи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надання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послуг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: 31 </w:t>
      </w:r>
      <w:proofErr w:type="spellStart"/>
      <w:r w:rsidRPr="000A0556">
        <w:rPr>
          <w:rFonts w:ascii="Times New Roman" w:eastAsia="Times New Roman" w:hAnsi="Times New Roman" w:cs="Times New Roman"/>
          <w:lang w:eastAsia="ru-RU"/>
        </w:rPr>
        <w:t>грудня</w:t>
      </w:r>
      <w:proofErr w:type="spellEnd"/>
      <w:r w:rsidRPr="000A0556">
        <w:rPr>
          <w:rFonts w:ascii="Times New Roman" w:eastAsia="Times New Roman" w:hAnsi="Times New Roman" w:cs="Times New Roman"/>
          <w:lang w:eastAsia="ru-RU"/>
        </w:rPr>
        <w:t xml:space="preserve"> 2021</w:t>
      </w:r>
      <w:r w:rsidRPr="00C118E7">
        <w:rPr>
          <w:rFonts w:ascii="Times New Roman" w:hAnsi="Times New Roman" w:cs="Times New Roman"/>
          <w:b/>
          <w:bCs/>
          <w:color w:val="222222"/>
          <w:bdr w:val="none" w:sz="0" w:space="0" w:color="auto" w:frame="1"/>
          <w:shd w:val="clear" w:color="auto" w:fill="FFFFFF"/>
          <w:lang w:val="uk-UA"/>
        </w:rPr>
        <w:t xml:space="preserve">          </w:t>
      </w:r>
    </w:p>
    <w:p w:rsidR="009C16B1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3.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 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Ідентифікатор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закупі</w:t>
      </w:r>
      <w:proofErr w:type="gram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вл</w:t>
      </w:r>
      <w:proofErr w:type="gram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: </w:t>
      </w:r>
      <w:r w:rsidR="00DA003D" w:rsidRPr="00C118E7">
        <w:rPr>
          <w:sz w:val="22"/>
          <w:szCs w:val="22"/>
          <w:shd w:val="clear" w:color="auto" w:fill="F0F5F2"/>
        </w:rPr>
        <w:t>UA-2021-04-15-002355-a</w:t>
      </w:r>
    </w:p>
    <w:p w:rsidR="009C16B1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4.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 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Обґрунтування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техн</w:t>
      </w:r>
      <w:proofErr w:type="gram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ічних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якісних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характеристик предмета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закупівлі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: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b/>
          <w:lang w:val="uk-UA"/>
        </w:rPr>
        <w:t xml:space="preserve">         </w:t>
      </w:r>
      <w:r w:rsidRPr="00C118E7">
        <w:rPr>
          <w:rFonts w:ascii="Times New Roman" w:eastAsia="Times New Roman" w:hAnsi="Times New Roman" w:cs="Times New Roman"/>
          <w:lang w:val="uk-UA"/>
        </w:rPr>
        <w:t xml:space="preserve">Параметри якості електроенергії в точках приєднання споживачів в нормальних умовах експлуатації мають відповідати параметрам, визначеним у ДСТУ EN 50160:2014 “Характеристики напруги електропостачання в електричних мережах загальної </w:t>
      </w:r>
      <w:proofErr w:type="spellStart"/>
      <w:r w:rsidRPr="00C118E7">
        <w:rPr>
          <w:rFonts w:ascii="Times New Roman" w:eastAsia="Times New Roman" w:hAnsi="Times New Roman" w:cs="Times New Roman"/>
          <w:lang w:val="uk-UA"/>
        </w:rPr>
        <w:t>призначеності</w:t>
      </w:r>
      <w:proofErr w:type="spellEnd"/>
      <w:r w:rsidRPr="00C118E7">
        <w:rPr>
          <w:rFonts w:ascii="Times New Roman" w:eastAsia="Times New Roman" w:hAnsi="Times New Roman" w:cs="Times New Roman"/>
          <w:lang w:val="uk-UA"/>
        </w:rPr>
        <w:t>”.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   Якість електричної енергії – це ступінь відповідності фактичних значень параметрів електричної енергії встановленим ГОСТ 13109-97 і ДСТУ EN 50160:2014, а також термінологічних стандартів ГОСТ 30372-95 та ДСТУ 3466-96. Контроль і оцінювання показників якості електричної енергії проводиться згідно СОУ-Н ЕЕ 40.1-37471933-55:2011.60:2014). Клас напруги: 2 (Постанова №1052 від 13.08.1998).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   Згідно ст. 18 Закону України «Про ринок електричної енергії» показники якості електропостачання повинні відповідати величинам, що затверджені Національною комісією, що здійснює державне регулювання у сферах енергетики та комунальних послуг.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  Умови постачання електричної енергії Споживачу повинні відповідати наступним нормативно-правовим актам: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- Закону України «Про публічні закупівлі»;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- Кодексу систем розподілу, затвердженого постановою Національної комісії регулювання електроенергетики та комунальних послуг України від 14.03.2018 № 310;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- Кодексу системи передачі, затвердженого постановою Національної комісії регулювання електроенергетики та комунальних послуг України від 14.03.2018 № 309;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- Закону України від 13.04.2017 № 2019-VIII «Про ринок електричної енергії»;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 - «Правилам роздрібного ринку електричної енергії», затвердженим постановою Національної комісії регулювання електроенергетики та комунальних послуг України від 14.03.2018 № 312;</w:t>
      </w:r>
    </w:p>
    <w:p w:rsidR="00DA003D" w:rsidRPr="00C118E7" w:rsidRDefault="00DA003D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>- іншим нормативно-правовим актам, прийнятим на виконання Закону України «Про ринок електричної енергії».</w:t>
      </w:r>
    </w:p>
    <w:p w:rsidR="00DA003D" w:rsidRPr="00C118E7" w:rsidRDefault="00D923B2" w:rsidP="00DA003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C118E7">
        <w:rPr>
          <w:rFonts w:ascii="Times New Roman" w:eastAsia="Times New Roman" w:hAnsi="Times New Roman" w:cs="Times New Roman"/>
          <w:lang w:val="uk-UA"/>
        </w:rPr>
        <w:t xml:space="preserve">    </w:t>
      </w:r>
      <w:r w:rsidR="00DA003D" w:rsidRPr="00C118E7">
        <w:rPr>
          <w:rFonts w:ascii="Times New Roman" w:eastAsia="Times New Roman" w:hAnsi="Times New Roman" w:cs="Times New Roman"/>
          <w:lang w:val="uk-UA"/>
        </w:rPr>
        <w:t xml:space="preserve">Технічні та якісні характеристики предмету закупівлі, що </w:t>
      </w:r>
      <w:proofErr w:type="spellStart"/>
      <w:r w:rsidR="00DA003D" w:rsidRPr="00C118E7">
        <w:rPr>
          <w:rFonts w:ascii="Times New Roman" w:eastAsia="Times New Roman" w:hAnsi="Times New Roman" w:cs="Times New Roman"/>
          <w:lang w:val="uk-UA"/>
        </w:rPr>
        <w:t>закуповується</w:t>
      </w:r>
      <w:proofErr w:type="spellEnd"/>
      <w:r w:rsidR="00DA003D" w:rsidRPr="00C118E7">
        <w:rPr>
          <w:rFonts w:ascii="Times New Roman" w:eastAsia="Times New Roman" w:hAnsi="Times New Roman" w:cs="Times New Roman"/>
          <w:lang w:val="uk-UA"/>
        </w:rPr>
        <w:t xml:space="preserve"> повинні відповідати технічним умовам та стандартам, передбаченим законодавством України </w:t>
      </w:r>
      <w:r w:rsidR="000A0556" w:rsidRPr="00C118E7">
        <w:rPr>
          <w:rFonts w:ascii="Times New Roman" w:eastAsia="Times New Roman" w:hAnsi="Times New Roman" w:cs="Times New Roman"/>
          <w:lang w:val="uk-UA"/>
        </w:rPr>
        <w:t>діючими на період поста</w:t>
      </w:r>
      <w:r w:rsidR="00DA003D" w:rsidRPr="00C118E7">
        <w:rPr>
          <w:rFonts w:ascii="Times New Roman" w:eastAsia="Times New Roman" w:hAnsi="Times New Roman" w:cs="Times New Roman"/>
          <w:lang w:val="uk-UA"/>
        </w:rPr>
        <w:t>чання товару. Якість постачання – безперервне, комерційна якість постачання.</w:t>
      </w:r>
    </w:p>
    <w:p w:rsidR="00DA003D" w:rsidRPr="00C118E7" w:rsidRDefault="00D923B2" w:rsidP="000A055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C118E7">
        <w:rPr>
          <w:rFonts w:ascii="Times New Roman" w:eastAsia="Calibri" w:hAnsi="Times New Roman" w:cs="Times New Roman"/>
          <w:lang w:val="uk-UA"/>
        </w:rPr>
        <w:t xml:space="preserve">     </w:t>
      </w:r>
      <w:r w:rsidR="00DA003D" w:rsidRPr="00C118E7">
        <w:rPr>
          <w:rFonts w:ascii="Times New Roman" w:eastAsia="Calibri" w:hAnsi="Times New Roman" w:cs="Times New Roman"/>
          <w:lang w:val="uk-UA"/>
        </w:rPr>
        <w:t>Оператор системи розподілу – АТ «ВІННИЦЯОБЛЕНЕРГО»</w:t>
      </w:r>
    </w:p>
    <w:p w:rsidR="009C16B1" w:rsidRPr="00C118E7" w:rsidRDefault="00D923B2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C118E7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           </w:t>
      </w:r>
      <w:r w:rsidR="009C16B1" w:rsidRPr="00C118E7">
        <w:rPr>
          <w:color w:val="000000"/>
          <w:sz w:val="22"/>
          <w:szCs w:val="22"/>
          <w:bdr w:val="none" w:sz="0" w:space="0" w:color="auto" w:frame="1"/>
          <w:lang w:val="uk-UA"/>
        </w:rPr>
        <w:t>Під час здійснення цієї закупівлі стосовно технічних, якісних характеристик предмета закупівлі передбачається необхідність застосування заходів із захисту довкілля, в тому числі під час виконання договору про закупівлю учасник-переможець зобов’язується дотримуватись передбачених чинним законодавством вимог щодо застосування заходів із захисту довкілля.</w:t>
      </w:r>
      <w:r w:rsidR="009C16B1" w:rsidRPr="00C118E7">
        <w:rPr>
          <w:color w:val="000000"/>
          <w:sz w:val="22"/>
          <w:szCs w:val="22"/>
          <w:bdr w:val="none" w:sz="0" w:space="0" w:color="auto" w:frame="1"/>
        </w:rPr>
        <w:t> </w:t>
      </w:r>
      <w:proofErr w:type="spellStart"/>
      <w:proofErr w:type="gram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П</w:t>
      </w:r>
      <w:proofErr w:type="gram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>ідприємства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електроенергетики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повинні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дотримуватися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вимог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законодавства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про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охорону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навколишнього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природного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середовища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здійснювати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технічні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та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організаційні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заходи,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спрямовані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зменшення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шкідливого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впливу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об’єктів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електроенергетики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навколишнє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природне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lastRenderedPageBreak/>
        <w:t>середовище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, а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також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несуть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відповідальність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за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порушення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вимог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законодавства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про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охорону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навколишнього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 xml:space="preserve"> природного </w:t>
      </w:r>
      <w:proofErr w:type="spellStart"/>
      <w:r w:rsidR="009C16B1" w:rsidRPr="00C118E7">
        <w:rPr>
          <w:color w:val="000000"/>
          <w:sz w:val="22"/>
          <w:szCs w:val="22"/>
          <w:bdr w:val="none" w:sz="0" w:space="0" w:color="auto" w:frame="1"/>
        </w:rPr>
        <w:t>середовища</w:t>
      </w:r>
      <w:proofErr w:type="spellEnd"/>
      <w:r w:rsidR="009C16B1" w:rsidRPr="00C118E7">
        <w:rPr>
          <w:color w:val="000000"/>
          <w:sz w:val="22"/>
          <w:szCs w:val="22"/>
          <w:bdr w:val="none" w:sz="0" w:space="0" w:color="auto" w:frame="1"/>
        </w:rPr>
        <w:t>.</w:t>
      </w:r>
    </w:p>
    <w:p w:rsidR="00DA003D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5.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Обґрунтування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розміру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бюджетного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призначення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очікуваної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вартості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предмета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закупі</w:t>
      </w:r>
      <w:proofErr w:type="gram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вл</w:t>
      </w:r>
      <w:proofErr w:type="gram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:</w:t>
      </w:r>
    </w:p>
    <w:p w:rsidR="009C16B1" w:rsidRPr="00A14136" w:rsidRDefault="000A0556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  <w:lang w:val="uk-UA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        </w:t>
      </w:r>
      <w:r w:rsidR="009C16B1"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При визначенні очікуваної вартості закупівлі враховувалась інформація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про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тариф на послугу з передачі електричної енергії </w:t>
      </w:r>
      <w:r w:rsidR="00A63B5E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оператора системи передачі — </w:t>
      </w:r>
      <w:r w:rsidR="009A7783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ПРАТ «НЕК «Укренерго»</w:t>
      </w:r>
      <w:r w:rsidR="009A2DCA" w:rsidRPr="009A2DCA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-293.93 </w:t>
      </w:r>
      <w:r w:rsidR="009A2DCA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грн./МВт*</w:t>
      </w:r>
      <w:proofErr w:type="spellStart"/>
      <w:r w:rsidR="009A2DCA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год</w:t>
      </w:r>
      <w:proofErr w:type="spellEnd"/>
      <w:r w:rsidR="009A2DCA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без ПДВ 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, затверджений Регулятором на відповідний розрахунковий період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відповідно Закону України «Про ринок електричної енергії»,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про ціну товару, що міститься в мережі Інтернет у відкритому доступі, в тому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числі на</w:t>
      </w:r>
      <w:r w:rsidR="009C16B1" w:rsidRPr="00C118E7">
        <w:rPr>
          <w:color w:val="000000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підставі інформації офіційного сайту </w:t>
      </w:r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https</w:t>
      </w:r>
      <w:r w:rsidR="00A14136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://</w:t>
      </w:r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www</w:t>
      </w:r>
      <w:r w:rsidR="00A14136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proofErr w:type="spellStart"/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oree</w:t>
      </w:r>
      <w:proofErr w:type="spellEnd"/>
      <w:r w:rsidR="00A14136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com</w:t>
      </w:r>
      <w:r w:rsidR="00A14136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proofErr w:type="spellStart"/>
      <w:r w:rsid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ua</w:t>
      </w:r>
      <w:proofErr w:type="spellEnd"/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</w:t>
      </w:r>
      <w:r w:rsidR="009C16B1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та в електронній системі закупівель.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За даними офіційного сайту 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https</w:t>
      </w:r>
      <w:r w:rsidR="007418CC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://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www</w:t>
      </w:r>
      <w:r w:rsidR="007418CC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proofErr w:type="spellStart"/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oree</w:t>
      </w:r>
      <w:proofErr w:type="spellEnd"/>
      <w:r w:rsidR="007418CC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com</w:t>
      </w:r>
      <w:r w:rsidR="007418CC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.</w:t>
      </w:r>
      <w:proofErr w:type="spellStart"/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en-US"/>
        </w:rPr>
        <w:t>ua</w:t>
      </w:r>
      <w:proofErr w:type="spellEnd"/>
      <w:r w:rsidR="007418CC" w:rsidRPr="00A14136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</w:t>
      </w:r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станом на  15.04.2021 року середньозважена ціна за 1 МВ*</w:t>
      </w:r>
      <w:proofErr w:type="spellStart"/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год</w:t>
      </w:r>
      <w:proofErr w:type="spellEnd"/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 xml:space="preserve"> постачання електричної енергії </w:t>
      </w:r>
      <w:bookmarkStart w:id="0" w:name="_GoBack"/>
      <w:bookmarkEnd w:id="0"/>
      <w:r w:rsidR="007418CC">
        <w:rPr>
          <w:color w:val="000000"/>
          <w:sz w:val="22"/>
          <w:szCs w:val="22"/>
          <w:bdr w:val="none" w:sz="0" w:space="0" w:color="auto" w:frame="1"/>
          <w:shd w:val="clear" w:color="auto" w:fill="FFFFFF"/>
          <w:lang w:val="uk-UA"/>
        </w:rPr>
        <w:t>складає 1583,74 грн. без ПДВ.</w:t>
      </w:r>
    </w:p>
    <w:p w:rsidR="009C16B1" w:rsidRPr="00C118E7" w:rsidRDefault="009C16B1" w:rsidP="009C16B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6.</w:t>
      </w:r>
      <w:r w:rsidRPr="00C118E7">
        <w:rPr>
          <w:color w:val="333333"/>
          <w:sz w:val="22"/>
          <w:szCs w:val="22"/>
          <w:bdr w:val="none" w:sz="0" w:space="0" w:color="auto" w:frame="1"/>
          <w:shd w:val="clear" w:color="auto" w:fill="FFFFFF"/>
        </w:rPr>
        <w:t>   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Очікувана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вартість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предмета </w:t>
      </w:r>
      <w:proofErr w:type="spell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закупі</w:t>
      </w:r>
      <w:proofErr w:type="gramStart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вл</w:t>
      </w:r>
      <w:proofErr w:type="gram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і</w:t>
      </w:r>
      <w:proofErr w:type="spellEnd"/>
      <w:r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: </w:t>
      </w:r>
      <w:r w:rsidR="00A63B5E" w:rsidRPr="00C118E7">
        <w:rPr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  <w:lang w:val="uk-UA"/>
        </w:rPr>
        <w:t>96800</w:t>
      </w:r>
      <w:r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</w:rPr>
        <w:t>грн</w:t>
      </w:r>
      <w:proofErr w:type="spellEnd"/>
      <w:r w:rsidRPr="00C118E7">
        <w:rPr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з ПДВ.</w:t>
      </w:r>
    </w:p>
    <w:p w:rsidR="00F028BD" w:rsidRPr="00C118E7" w:rsidRDefault="00F028BD">
      <w:pPr>
        <w:rPr>
          <w:rFonts w:ascii="Times New Roman" w:hAnsi="Times New Roman" w:cs="Times New Roman"/>
        </w:rPr>
      </w:pPr>
    </w:p>
    <w:sectPr w:rsidR="00F028BD" w:rsidRPr="00C11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8A"/>
    <w:rsid w:val="000A0556"/>
    <w:rsid w:val="002E6F8A"/>
    <w:rsid w:val="00360CA7"/>
    <w:rsid w:val="00544583"/>
    <w:rsid w:val="007418CC"/>
    <w:rsid w:val="008822C5"/>
    <w:rsid w:val="009A2DCA"/>
    <w:rsid w:val="009A7783"/>
    <w:rsid w:val="009C16B1"/>
    <w:rsid w:val="00A14136"/>
    <w:rsid w:val="00A63B5E"/>
    <w:rsid w:val="00B43B2E"/>
    <w:rsid w:val="00C118E7"/>
    <w:rsid w:val="00C94A75"/>
    <w:rsid w:val="00D923B2"/>
    <w:rsid w:val="00DA003D"/>
    <w:rsid w:val="00F0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Абзац списку 1,тв-Абзац списка,название табл/рис,заголовок 1.1,List Paragraph (numbered (a)),List_Paragraph,Multilevel para_II,List Paragraph1,List Paragraph-ExecSummary,Akapit z listą BS,Bullets,List Paragraph 1,References,Список уровня 2"/>
    <w:basedOn w:val="a"/>
    <w:link w:val="a5"/>
    <w:uiPriority w:val="34"/>
    <w:qFormat/>
    <w:rsid w:val="009C16B1"/>
    <w:pPr>
      <w:spacing w:after="160" w:line="259" w:lineRule="auto"/>
      <w:ind w:left="720"/>
      <w:contextualSpacing/>
    </w:pPr>
  </w:style>
  <w:style w:type="paragraph" w:styleId="a6">
    <w:name w:val="No Spacing"/>
    <w:link w:val="a7"/>
    <w:qFormat/>
    <w:rsid w:val="009C16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9C16B1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Абзац списку 1 Знак,тв-Абзац списка Знак,название табл/рис Знак,заголовок 1.1 Знак,List Paragraph (numbered (a)) Знак,List_Paragraph Знак,Multilevel para_II Знак,List Paragraph1 Знак,List Paragraph-ExecSummary Знак,Bullets Знак"/>
    <w:link w:val="a4"/>
    <w:uiPriority w:val="34"/>
    <w:locked/>
    <w:rsid w:val="009C16B1"/>
  </w:style>
  <w:style w:type="character" w:styleId="a8">
    <w:name w:val="Strong"/>
    <w:basedOn w:val="a0"/>
    <w:uiPriority w:val="22"/>
    <w:qFormat/>
    <w:rsid w:val="000A05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Абзац списку 1,тв-Абзац списка,название табл/рис,заголовок 1.1,List Paragraph (numbered (a)),List_Paragraph,Multilevel para_II,List Paragraph1,List Paragraph-ExecSummary,Akapit z listą BS,Bullets,List Paragraph 1,References,Список уровня 2"/>
    <w:basedOn w:val="a"/>
    <w:link w:val="a5"/>
    <w:uiPriority w:val="34"/>
    <w:qFormat/>
    <w:rsid w:val="009C16B1"/>
    <w:pPr>
      <w:spacing w:after="160" w:line="259" w:lineRule="auto"/>
      <w:ind w:left="720"/>
      <w:contextualSpacing/>
    </w:pPr>
  </w:style>
  <w:style w:type="paragraph" w:styleId="a6">
    <w:name w:val="No Spacing"/>
    <w:link w:val="a7"/>
    <w:qFormat/>
    <w:rsid w:val="009C16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9C16B1"/>
    <w:rPr>
      <w:rFonts w:ascii="Calibri" w:eastAsia="Calibri" w:hAnsi="Calibri" w:cs="Times New Roman"/>
    </w:rPr>
  </w:style>
  <w:style w:type="character" w:customStyle="1" w:styleId="a5">
    <w:name w:val="Абзац списка Знак"/>
    <w:aliases w:val="Абзац списку 1 Знак,тв-Абзац списка Знак,название табл/рис Знак,заголовок 1.1 Знак,List Paragraph (numbered (a)) Знак,List_Paragraph Знак,Multilevel para_II Знак,List Paragraph1 Знак,List Paragraph-ExecSummary Знак,Bullets Знак"/>
    <w:link w:val="a4"/>
    <w:uiPriority w:val="34"/>
    <w:locked/>
    <w:rsid w:val="009C16B1"/>
  </w:style>
  <w:style w:type="character" w:styleId="a8">
    <w:name w:val="Strong"/>
    <w:basedOn w:val="a0"/>
    <w:uiPriority w:val="22"/>
    <w:qFormat/>
    <w:rsid w:val="000A0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9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78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253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459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08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46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4379-3881-4477-9CB0-55C693BF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2021-04-19T14:23:00Z</dcterms:created>
  <dcterms:modified xsi:type="dcterms:W3CDTF">2021-04-19T14:23:00Z</dcterms:modified>
</cp:coreProperties>
</file>