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6C41D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1DA" w:rsidRDefault="00BD66EA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( 0611010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( 0910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C41DA" w:rsidRDefault="00BD66EA">
            <w:pPr>
              <w:ind w:left="60"/>
              <w:jc w:val="both"/>
            </w:pPr>
            <w:proofErr w:type="spellStart"/>
            <w:r>
              <w:rPr>
                <w:sz w:val="24"/>
              </w:rPr>
              <w:t>Надання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дошкільної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для </w:t>
            </w:r>
            <w:proofErr w:type="spellStart"/>
            <w:r>
              <w:t>надання</w:t>
            </w:r>
            <w:proofErr w:type="spellEnd"/>
            <w:r>
              <w:t xml:space="preserve"> на </w:t>
            </w:r>
            <w:proofErr w:type="spellStart"/>
            <w:r>
              <w:t>належному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івні</w:t>
            </w:r>
            <w:proofErr w:type="spellEnd"/>
            <w:r>
              <w:t xml:space="preserve"> </w:t>
            </w:r>
            <w:proofErr w:type="spellStart"/>
            <w:r>
              <w:t>дошкільної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та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t>2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капітального</w:t>
            </w:r>
            <w:proofErr w:type="spellEnd"/>
            <w:r>
              <w:t xml:space="preserve"> ремонту </w:t>
            </w:r>
            <w:proofErr w:type="spellStart"/>
            <w:r>
              <w:t>обєктів</w:t>
            </w:r>
            <w:proofErr w:type="spellEnd"/>
            <w:r>
              <w:t xml:space="preserve">: </w:t>
            </w:r>
            <w:proofErr w:type="spellStart"/>
            <w:r>
              <w:t>санвузлі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харчоблоку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належних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умов для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належному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i/>
                <w:sz w:val="16"/>
              </w:rPr>
              <w:t>івні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виховання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дітей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6474110,80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915560,00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7389670,80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6397972,49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478380,49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6876352,98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-76138,31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-437179,51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-513317,82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Облаштування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спортивновно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ігрового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майданчика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в ДНЗ «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Дивограй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» селища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br/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left="60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41DA" w:rsidRDefault="006C41DA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санвузлів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Тростянецького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ЗДО "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Дивограй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left="60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харчоблоку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Тростянецького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ЗДО "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Дивограй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>"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361571,23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361571,23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-2,77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-2,77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харчоблоку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пральні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по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Тростянецькому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ЗДО "Колосок"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left="60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лічильника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газу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машини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7558,00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7558,00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7558,00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7558,00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left="60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6474110,80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1567186,00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8041296,80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6397972,49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1130003,72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7527976,21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-76138,31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-437182,28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right="60"/>
              <w:jc w:val="right"/>
            </w:pPr>
            <w:r>
              <w:rPr>
                <w:b/>
                <w:sz w:val="16"/>
              </w:rPr>
              <w:t>-513320,59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6C41DA">
            <w:pPr>
              <w:ind w:right="60"/>
              <w:jc w:val="right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штатний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розпис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69,87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облаштування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майданчика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вартість ремонту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165494,00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вартість ремонту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361571,23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361571,23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-2,77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-2,77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вартість ремонту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22,52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інперсоналу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умовами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41DA" w:rsidRDefault="006C41DA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віднесених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40,35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6474110,80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915560,00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7389670,80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6397972,49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478380,49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6876352,98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-76138,31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-437179,51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-513317,82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74,00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 до 6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рокі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246,00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1323,00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1323,00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1323,00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1323,00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дитину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23801,88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27171,88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23521,96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3370,00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26891,96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-279,92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-279,92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Причиною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відхилення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діто-дні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відвідування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66010,00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66010,00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66010,00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66010,00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6C41DA">
            <w:pPr>
              <w:jc w:val="center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відсоток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охоплення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освітою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відс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93,00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ідвідування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C41DA" w:rsidRDefault="00BD66E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230,00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BD66EA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41DA" w:rsidRDefault="006C41DA"/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1DA" w:rsidRDefault="00BD66EA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виконана</w:t>
            </w:r>
            <w:proofErr w:type="spellEnd"/>
            <w:r>
              <w:t xml:space="preserve"> на 98,82%.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</w:t>
            </w:r>
            <w:r>
              <w:rPr>
                <w:sz w:val="16"/>
              </w:rPr>
              <w:t>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Pr="00A36668" w:rsidRDefault="00A36668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  <w:tr w:rsidR="006C41DA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7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44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1DA" w:rsidRDefault="00BD66EA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6C41DA" w:rsidRDefault="006C41DA">
            <w:pPr>
              <w:pStyle w:val="EMPTYCELLSTYLE"/>
            </w:pPr>
          </w:p>
        </w:tc>
        <w:tc>
          <w:tcPr>
            <w:tcW w:w="400" w:type="dxa"/>
          </w:tcPr>
          <w:p w:rsidR="006C41DA" w:rsidRDefault="006C41DA">
            <w:pPr>
              <w:pStyle w:val="EMPTYCELLSTYLE"/>
            </w:pPr>
          </w:p>
        </w:tc>
      </w:tr>
    </w:tbl>
    <w:p w:rsidR="00BD66EA" w:rsidRDefault="00BD66EA"/>
    <w:sectPr w:rsidR="00BD66E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DA"/>
    <w:rsid w:val="006C41DA"/>
    <w:rsid w:val="00A36668"/>
    <w:rsid w:val="00B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2020-03-16T07:14:00Z</dcterms:created>
  <dcterms:modified xsi:type="dcterms:W3CDTF">2020-03-16T07:14:00Z</dcterms:modified>
</cp:coreProperties>
</file>