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rawings/drawing3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21D" w:rsidRPr="00434277" w:rsidRDefault="00434277" w:rsidP="007E221D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34277">
        <w:rPr>
          <w:rFonts w:ascii="Times New Roman" w:hAnsi="Times New Roman"/>
          <w:b/>
          <w:sz w:val="28"/>
          <w:szCs w:val="28"/>
          <w:lang w:val="uk-UA"/>
        </w:rPr>
        <w:t>Відповідно до бюджетного регламенту Тростянецької селищної ради управління фінансів презентує і</w:t>
      </w:r>
      <w:r w:rsidR="00377543" w:rsidRPr="00434277">
        <w:rPr>
          <w:rFonts w:ascii="Times New Roman" w:hAnsi="Times New Roman"/>
          <w:b/>
          <w:sz w:val="28"/>
          <w:szCs w:val="28"/>
          <w:lang w:val="uk-UA"/>
        </w:rPr>
        <w:t>нформаці</w:t>
      </w:r>
      <w:r w:rsidRPr="00434277">
        <w:rPr>
          <w:rFonts w:ascii="Times New Roman" w:hAnsi="Times New Roman"/>
          <w:b/>
          <w:sz w:val="28"/>
          <w:szCs w:val="28"/>
          <w:lang w:val="uk-UA"/>
        </w:rPr>
        <w:t>ю</w:t>
      </w:r>
      <w:r w:rsidR="007E221D" w:rsidRPr="00434277">
        <w:rPr>
          <w:rFonts w:ascii="Times New Roman" w:hAnsi="Times New Roman"/>
          <w:b/>
          <w:sz w:val="28"/>
          <w:szCs w:val="28"/>
          <w:lang w:val="uk-UA"/>
        </w:rPr>
        <w:t xml:space="preserve"> про виконання бюджету</w:t>
      </w:r>
    </w:p>
    <w:p w:rsidR="007E221D" w:rsidRPr="00434277" w:rsidRDefault="007E221D" w:rsidP="007E221D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34277">
        <w:rPr>
          <w:rFonts w:ascii="Times New Roman" w:hAnsi="Times New Roman"/>
          <w:b/>
          <w:sz w:val="28"/>
          <w:szCs w:val="28"/>
          <w:lang w:val="uk-UA"/>
        </w:rPr>
        <w:t xml:space="preserve">Тростянецької </w:t>
      </w:r>
      <w:r w:rsidR="00E33BC3" w:rsidRPr="00434277">
        <w:rPr>
          <w:rFonts w:ascii="Times New Roman" w:hAnsi="Times New Roman"/>
          <w:b/>
          <w:sz w:val="28"/>
          <w:szCs w:val="28"/>
          <w:lang w:val="uk-UA"/>
        </w:rPr>
        <w:t xml:space="preserve">селищної </w:t>
      </w:r>
      <w:r w:rsidRPr="00434277">
        <w:rPr>
          <w:rFonts w:ascii="Times New Roman" w:hAnsi="Times New Roman"/>
          <w:b/>
          <w:sz w:val="28"/>
          <w:szCs w:val="28"/>
          <w:lang w:val="uk-UA"/>
        </w:rPr>
        <w:t>об’єднаної територіальної</w:t>
      </w:r>
    </w:p>
    <w:p w:rsidR="007E221D" w:rsidRPr="00434277" w:rsidRDefault="007E221D" w:rsidP="007E221D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34277">
        <w:rPr>
          <w:rFonts w:ascii="Times New Roman" w:hAnsi="Times New Roman"/>
          <w:b/>
          <w:sz w:val="28"/>
          <w:szCs w:val="28"/>
          <w:lang w:val="uk-UA"/>
        </w:rPr>
        <w:t>громади за 2019 рік.</w:t>
      </w:r>
    </w:p>
    <w:p w:rsidR="007E221D" w:rsidRDefault="007E221D" w:rsidP="007E221D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221D" w:rsidRDefault="007E221D" w:rsidP="007E221D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91778">
        <w:rPr>
          <w:rFonts w:ascii="Times New Roman" w:hAnsi="Times New Roman"/>
          <w:sz w:val="28"/>
          <w:szCs w:val="28"/>
          <w:lang w:val="uk-UA"/>
        </w:rPr>
        <w:t>У 2019 році надходження до бю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091778">
        <w:rPr>
          <w:rFonts w:ascii="Times New Roman" w:hAnsi="Times New Roman"/>
          <w:sz w:val="28"/>
          <w:szCs w:val="28"/>
          <w:lang w:val="uk-UA"/>
        </w:rPr>
        <w:t>жету Тростянецької селищної об’єднаної територіальної громади склали  74</w:t>
      </w:r>
      <w:r>
        <w:rPr>
          <w:rFonts w:ascii="Times New Roman" w:hAnsi="Times New Roman"/>
          <w:sz w:val="28"/>
          <w:szCs w:val="28"/>
        </w:rPr>
        <w:t> </w:t>
      </w:r>
      <w:r w:rsidRPr="00091778">
        <w:rPr>
          <w:rFonts w:ascii="Times New Roman" w:hAnsi="Times New Roman"/>
          <w:sz w:val="28"/>
          <w:szCs w:val="28"/>
          <w:lang w:val="uk-UA"/>
        </w:rPr>
        <w:t xml:space="preserve">391,7 </w:t>
      </w:r>
      <w:proofErr w:type="spellStart"/>
      <w:r w:rsidRPr="0009177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091778">
        <w:rPr>
          <w:rFonts w:ascii="Times New Roman" w:hAnsi="Times New Roman"/>
          <w:sz w:val="28"/>
          <w:szCs w:val="28"/>
          <w:lang w:val="uk-UA"/>
        </w:rPr>
        <w:t>., в тому числі: до загального фонду - 71</w:t>
      </w:r>
      <w:r>
        <w:rPr>
          <w:rFonts w:ascii="Times New Roman" w:hAnsi="Times New Roman"/>
          <w:sz w:val="28"/>
          <w:szCs w:val="28"/>
        </w:rPr>
        <w:t> </w:t>
      </w:r>
      <w:r w:rsidRPr="00091778">
        <w:rPr>
          <w:rFonts w:ascii="Times New Roman" w:hAnsi="Times New Roman"/>
          <w:sz w:val="28"/>
          <w:szCs w:val="28"/>
          <w:lang w:val="uk-UA"/>
        </w:rPr>
        <w:t xml:space="preserve">111,9 </w:t>
      </w:r>
      <w:proofErr w:type="spellStart"/>
      <w:r w:rsidRPr="0009177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091778">
        <w:rPr>
          <w:rFonts w:ascii="Times New Roman" w:hAnsi="Times New Roman"/>
          <w:sz w:val="28"/>
          <w:szCs w:val="28"/>
          <w:lang w:val="uk-UA"/>
        </w:rPr>
        <w:t>., до спеціального фонду – 3</w:t>
      </w:r>
      <w:r>
        <w:rPr>
          <w:rFonts w:ascii="Times New Roman" w:hAnsi="Times New Roman"/>
          <w:sz w:val="28"/>
          <w:szCs w:val="28"/>
        </w:rPr>
        <w:t> </w:t>
      </w:r>
      <w:r w:rsidRPr="00091778">
        <w:rPr>
          <w:rFonts w:ascii="Times New Roman" w:hAnsi="Times New Roman"/>
          <w:sz w:val="28"/>
          <w:szCs w:val="28"/>
          <w:lang w:val="uk-UA"/>
        </w:rPr>
        <w:t>279,9 тис. грн.  Міжбюджетних трансфертів надійшло 23</w:t>
      </w:r>
      <w:r>
        <w:rPr>
          <w:rFonts w:ascii="Times New Roman" w:hAnsi="Times New Roman"/>
          <w:sz w:val="28"/>
          <w:szCs w:val="28"/>
        </w:rPr>
        <w:t> </w:t>
      </w:r>
      <w:r w:rsidRPr="00091778">
        <w:rPr>
          <w:rFonts w:ascii="Times New Roman" w:hAnsi="Times New Roman"/>
          <w:sz w:val="28"/>
          <w:szCs w:val="28"/>
          <w:lang w:val="uk-UA"/>
        </w:rPr>
        <w:t xml:space="preserve">671,6 </w:t>
      </w:r>
      <w:proofErr w:type="spellStart"/>
      <w:r w:rsidRPr="0009177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091778">
        <w:rPr>
          <w:rFonts w:ascii="Times New Roman" w:hAnsi="Times New Roman"/>
          <w:sz w:val="28"/>
          <w:szCs w:val="28"/>
          <w:lang w:val="uk-UA"/>
        </w:rPr>
        <w:t>.,</w:t>
      </w:r>
      <w:r>
        <w:rPr>
          <w:rFonts w:ascii="Times New Roman" w:hAnsi="Times New Roman"/>
          <w:sz w:val="28"/>
          <w:szCs w:val="28"/>
          <w:lang w:val="uk-UA"/>
        </w:rPr>
        <w:t xml:space="preserve"> з них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освітної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субвенції - 11305,0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медичної субвенції – 5710,0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додаткової дотації з місцевого бюджету на здійснення переданих з державного бюджету видатків з утримання закладів освіти та охорони здоров’я – 2438,7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інших субвенцій з місцевого бюджету – 1569,8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В</w:t>
      </w:r>
      <w:r w:rsidRPr="00091778">
        <w:rPr>
          <w:rFonts w:ascii="Times New Roman" w:hAnsi="Times New Roman"/>
          <w:sz w:val="28"/>
          <w:szCs w:val="28"/>
          <w:lang w:val="uk-UA"/>
        </w:rPr>
        <w:t>ласн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91778">
        <w:rPr>
          <w:rFonts w:ascii="Times New Roman" w:hAnsi="Times New Roman"/>
          <w:sz w:val="28"/>
          <w:szCs w:val="28"/>
          <w:lang w:val="uk-UA"/>
        </w:rPr>
        <w:t xml:space="preserve"> надходжен</w:t>
      </w:r>
      <w:r>
        <w:rPr>
          <w:rFonts w:ascii="Times New Roman" w:hAnsi="Times New Roman"/>
          <w:sz w:val="28"/>
          <w:szCs w:val="28"/>
          <w:lang w:val="uk-UA"/>
        </w:rPr>
        <w:t>ня селищного бюджету становлять</w:t>
      </w:r>
      <w:r w:rsidRPr="00091778">
        <w:rPr>
          <w:rFonts w:ascii="Times New Roman" w:hAnsi="Times New Roman"/>
          <w:sz w:val="28"/>
          <w:szCs w:val="28"/>
          <w:lang w:val="uk-UA"/>
        </w:rPr>
        <w:t xml:space="preserve"> 50</w:t>
      </w:r>
      <w:r>
        <w:rPr>
          <w:rFonts w:ascii="Times New Roman" w:hAnsi="Times New Roman"/>
          <w:sz w:val="28"/>
          <w:szCs w:val="28"/>
        </w:rPr>
        <w:t> </w:t>
      </w:r>
      <w:r w:rsidRPr="00091778">
        <w:rPr>
          <w:rFonts w:ascii="Times New Roman" w:hAnsi="Times New Roman"/>
          <w:sz w:val="28"/>
          <w:szCs w:val="28"/>
          <w:lang w:val="uk-UA"/>
        </w:rPr>
        <w:t xml:space="preserve">720,1 </w:t>
      </w:r>
      <w:proofErr w:type="spellStart"/>
      <w:r w:rsidRPr="0009177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091778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, основними джерелами є податок на доходи – 26 841,6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місцеві податки -14 436,4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та акцизний податок – 5 059,9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91A80" w:rsidRDefault="00091A80" w:rsidP="00091A80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 загального фонду селищного бюджету Тростянецької об’єднаної територіальної громади за 2019 року надійшло 71 111,9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в тому числі надходжень без врахування трансфертів з усіх рівнів бюджетів 47 615,0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 що складає 105,4 відсотків до уточненого плану на рік</w:t>
      </w:r>
      <w:r w:rsidR="00B95988">
        <w:rPr>
          <w:rFonts w:ascii="Times New Roman" w:hAnsi="Times New Roman"/>
          <w:sz w:val="28"/>
          <w:szCs w:val="28"/>
          <w:lang w:val="uk-UA"/>
        </w:rPr>
        <w:t xml:space="preserve">, понад план поступило 2 446,9 </w:t>
      </w:r>
      <w:proofErr w:type="spellStart"/>
      <w:r w:rsidR="00B9598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B95988">
        <w:rPr>
          <w:rFonts w:ascii="Times New Roman" w:hAnsi="Times New Roman"/>
          <w:sz w:val="28"/>
          <w:szCs w:val="28"/>
          <w:lang w:val="uk-UA"/>
        </w:rPr>
        <w:t>.</w:t>
      </w:r>
      <w:r w:rsidRPr="00091A8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5988">
        <w:rPr>
          <w:rFonts w:ascii="Times New Roman" w:hAnsi="Times New Roman"/>
          <w:sz w:val="28"/>
          <w:szCs w:val="28"/>
          <w:lang w:val="uk-UA"/>
        </w:rPr>
        <w:t>Основним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5988">
        <w:rPr>
          <w:rFonts w:ascii="Times New Roman" w:hAnsi="Times New Roman"/>
          <w:sz w:val="28"/>
          <w:szCs w:val="28"/>
          <w:lang w:val="uk-UA"/>
        </w:rPr>
        <w:t>бюджетоутворюючим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5988">
        <w:rPr>
          <w:rFonts w:ascii="Times New Roman" w:hAnsi="Times New Roman"/>
          <w:sz w:val="28"/>
          <w:szCs w:val="28"/>
          <w:lang w:val="uk-UA"/>
        </w:rPr>
        <w:t>податком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5988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5988">
        <w:rPr>
          <w:rFonts w:ascii="Times New Roman" w:hAnsi="Times New Roman"/>
          <w:sz w:val="28"/>
          <w:szCs w:val="28"/>
          <w:lang w:val="uk-UA"/>
        </w:rPr>
        <w:t>податок на доходи з фізичних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5988">
        <w:rPr>
          <w:rFonts w:ascii="Times New Roman" w:hAnsi="Times New Roman"/>
          <w:sz w:val="28"/>
          <w:szCs w:val="28"/>
          <w:lang w:val="uk-UA"/>
        </w:rPr>
        <w:t>осіб, 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5988">
        <w:rPr>
          <w:rFonts w:ascii="Times New Roman" w:hAnsi="Times New Roman"/>
          <w:sz w:val="28"/>
          <w:szCs w:val="28"/>
          <w:lang w:val="uk-UA"/>
        </w:rPr>
        <w:t xml:space="preserve">якого за </w:t>
      </w:r>
      <w:r>
        <w:rPr>
          <w:rFonts w:ascii="Times New Roman" w:hAnsi="Times New Roman"/>
          <w:sz w:val="28"/>
          <w:szCs w:val="28"/>
          <w:lang w:val="uk-UA"/>
        </w:rPr>
        <w:t>2019 рік</w:t>
      </w:r>
      <w:r w:rsidRPr="00B95988">
        <w:rPr>
          <w:rFonts w:ascii="Times New Roman" w:hAnsi="Times New Roman"/>
          <w:sz w:val="28"/>
          <w:szCs w:val="28"/>
          <w:lang w:val="uk-UA"/>
        </w:rPr>
        <w:t xml:space="preserve">  становить </w:t>
      </w:r>
      <w:r>
        <w:rPr>
          <w:rFonts w:ascii="Times New Roman" w:hAnsi="Times New Roman"/>
          <w:sz w:val="28"/>
          <w:szCs w:val="28"/>
          <w:lang w:val="uk-UA"/>
        </w:rPr>
        <w:t xml:space="preserve">26 841,6 </w:t>
      </w:r>
      <w:proofErr w:type="spellStart"/>
      <w:r w:rsidRPr="00B9598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B95988">
        <w:rPr>
          <w:rFonts w:ascii="Times New Roman" w:hAnsi="Times New Roman"/>
          <w:sz w:val="28"/>
          <w:szCs w:val="28"/>
          <w:lang w:val="uk-UA"/>
        </w:rPr>
        <w:t>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5988">
        <w:rPr>
          <w:rFonts w:ascii="Times New Roman" w:hAnsi="Times New Roman"/>
          <w:sz w:val="28"/>
          <w:szCs w:val="28"/>
          <w:lang w:val="uk-UA"/>
        </w:rPr>
        <w:t>або</w:t>
      </w:r>
      <w:r>
        <w:rPr>
          <w:rFonts w:ascii="Times New Roman" w:hAnsi="Times New Roman"/>
          <w:sz w:val="28"/>
          <w:szCs w:val="28"/>
          <w:lang w:val="uk-UA"/>
        </w:rPr>
        <w:t xml:space="preserve"> 56,4 відсотків </w:t>
      </w:r>
      <w:r w:rsidRPr="00B95988">
        <w:rPr>
          <w:rFonts w:ascii="Times New Roman" w:hAnsi="Times New Roman"/>
          <w:sz w:val="28"/>
          <w:szCs w:val="28"/>
          <w:lang w:val="uk-UA"/>
        </w:rPr>
        <w:t>до усіх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5988">
        <w:rPr>
          <w:rFonts w:ascii="Times New Roman" w:hAnsi="Times New Roman"/>
          <w:sz w:val="28"/>
          <w:szCs w:val="28"/>
          <w:lang w:val="uk-UA"/>
        </w:rPr>
        <w:t>надходжень.</w:t>
      </w:r>
    </w:p>
    <w:p w:rsidR="002B2791" w:rsidRDefault="002B2791" w:rsidP="002B2791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2791" w:rsidRDefault="00213176" w:rsidP="00213176">
      <w:pPr>
        <w:pStyle w:val="a5"/>
        <w:ind w:left="-709" w:firstLine="283"/>
        <w:jc w:val="both"/>
        <w:rPr>
          <w:rFonts w:ascii="Times New Roman" w:hAnsi="Times New Roman"/>
          <w:sz w:val="28"/>
          <w:szCs w:val="28"/>
          <w:lang w:val="uk-UA"/>
        </w:rPr>
      </w:pPr>
      <w:r w:rsidRPr="00DB39F0">
        <w:rPr>
          <w:rFonts w:ascii="Times New Roman" w:hAnsi="Times New Roman"/>
          <w:sz w:val="28"/>
          <w:szCs w:val="28"/>
        </w:rPr>
        <w:object w:dxaOrig="6097" w:dyaOrig="45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6.5pt;height:327pt" o:ole="">
            <v:imagedata r:id="rId5" o:title=""/>
          </v:shape>
          <o:OLEObject Type="Embed" ProgID="PowerPoint.Slide.12" ShapeID="_x0000_i1025" DrawAspect="Content" ObjectID="_1644407503" r:id="rId6"/>
        </w:object>
      </w:r>
    </w:p>
    <w:p w:rsidR="00091A80" w:rsidRDefault="00091A80" w:rsidP="00091A80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Наступним по обсягу є надходження податку на майно, що включає в себе надходження податку на нерухоме майно, земельного податку, орендної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плати, транспортного податку, сплаченого юридичними та фізичними особами, виконання якого становить 8 149,5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або 17,1 відсотків  до усіх надходжень.</w:t>
      </w:r>
    </w:p>
    <w:p w:rsidR="00091A80" w:rsidRDefault="00091A80" w:rsidP="00091A80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Вагомим</w:t>
      </w:r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обсягу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надходження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єдиного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податку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виконання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становить </w:t>
      </w:r>
      <w:r>
        <w:rPr>
          <w:rFonts w:ascii="Times New Roman" w:hAnsi="Times New Roman"/>
          <w:sz w:val="28"/>
          <w:szCs w:val="28"/>
          <w:lang w:val="uk-UA"/>
        </w:rPr>
        <w:t xml:space="preserve">6 261,6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або 13,2 відсотків  до усіх надходжень.</w:t>
      </w:r>
    </w:p>
    <w:p w:rsidR="00091A80" w:rsidRDefault="00091A80" w:rsidP="00091A80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Надходження акцизного податку до селищного бюджету об’єднаної територіальної громади за січень-грудень 2019 року становлять 5 059,9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або 10,6 відсотків  до усіх надходжень, в тому числі: акцизного податку з вироблених в Україні підакцизних товарів (пального) –847,9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.; акцизного податку з ввезених на митну територію України підакцизних товарів (пального) – 3 484,8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акцизного податку з реалізації суб’єктами господарювання роздрібної торгівлі підакцизних товарів–727,1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91A80" w:rsidRDefault="00091A80" w:rsidP="00091A80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Дохідна частина спеціального фонду (без урахування міжбюджетних трансфертів) виконана на 166,9  відсотків до уточненого плану на 2019 рік, при уточненому річному  плані  1 860,0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фактично надійшло 3 105,1 тис. грн. </w:t>
      </w:r>
    </w:p>
    <w:p w:rsidR="00DC4643" w:rsidRPr="00434277" w:rsidRDefault="00DC4643" w:rsidP="00091A80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C4643" w:rsidRDefault="00DC4643" w:rsidP="00B95988">
      <w:pPr>
        <w:pStyle w:val="a5"/>
        <w:jc w:val="both"/>
        <w:rPr>
          <w:rFonts w:ascii="Times New Roman" w:hAnsi="Times New Roman"/>
          <w:sz w:val="28"/>
          <w:szCs w:val="28"/>
          <w:lang w:val="en-US"/>
        </w:rPr>
      </w:pPr>
      <w:r w:rsidRPr="00DC4643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41060" cy="3746539"/>
            <wp:effectExtent l="19050" t="0" r="21590" b="6311"/>
            <wp:docPr id="3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C4643" w:rsidRDefault="00DC4643" w:rsidP="00091A80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91A80" w:rsidRDefault="00091A80" w:rsidP="00091A80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2019 рік  до спеціального фонду селищного бюджету надійшло               47,1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екологічного податку, 36,6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надходжень від грошових стягнень за шкоду, заподіяну порушенням законодавства про охорону навколишнього природного середовища внаслідок господарської та іншої діяльності, 173,6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надходжень до цільового фонду, утвореного Тростянецькою селищною радою, 1 853,3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власних надходжень бюджетних установ, 985,6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кошти від продажу земельної ділянки несільськогосподарського призначення, 8,8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надходження коштів пайової участі у розвитку інфраструктури населеного пункту, </w:t>
      </w:r>
    </w:p>
    <w:p w:rsidR="00091A80" w:rsidRDefault="00091A80" w:rsidP="00091A80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Одержані бюджетом громади доходи забезпечили загальну позитивну тенденцію в частині фінансування видатків, а саме:</w:t>
      </w:r>
    </w:p>
    <w:p w:rsidR="00091A80" w:rsidRDefault="00091A80" w:rsidP="00091A80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своєчасно виплачено заробітну плату працівникам бюджетних установ, профінансовано енергоносії та комунальні послуги, які споживаються бюджетними установами;</w:t>
      </w:r>
    </w:p>
    <w:p w:rsidR="00091A80" w:rsidRDefault="00091A80" w:rsidP="00091A80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профінансовано інші видатки, необхідні для повноцінного функціонування бюджетних установ та пріоритетні програми.</w:t>
      </w:r>
    </w:p>
    <w:p w:rsidR="007E221D" w:rsidRDefault="00DC4643" w:rsidP="00DC4643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2019 рік із бюджету Тростянецької селищної об’єднаної територіальної громади  проведено видатків в сумі 70 994,2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в тому числі по загальному фонду – 56 721,0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та по спеціальному фонду – </w:t>
      </w:r>
      <w:r w:rsidRPr="00DC464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14 273,2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="00623B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221D">
        <w:rPr>
          <w:rFonts w:ascii="Times New Roman" w:hAnsi="Times New Roman"/>
          <w:sz w:val="28"/>
          <w:szCs w:val="28"/>
          <w:lang w:val="uk-UA"/>
        </w:rPr>
        <w:t>(</w:t>
      </w:r>
      <w:r w:rsidR="007E221D" w:rsidRPr="00DD60BE">
        <w:rPr>
          <w:rFonts w:ascii="Times New Roman" w:hAnsi="Times New Roman"/>
          <w:sz w:val="28"/>
          <w:szCs w:val="28"/>
          <w:lang w:val="uk-UA"/>
        </w:rPr>
        <w:t xml:space="preserve">бюджет розвитку – 12 693,3 </w:t>
      </w:r>
      <w:proofErr w:type="spellStart"/>
      <w:r w:rsidR="007E221D" w:rsidRPr="00DD60BE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7E221D" w:rsidRPr="00DD60BE">
        <w:rPr>
          <w:rFonts w:ascii="Times New Roman" w:hAnsi="Times New Roman"/>
          <w:sz w:val="28"/>
          <w:szCs w:val="28"/>
          <w:lang w:val="uk-UA"/>
        </w:rPr>
        <w:t>.</w:t>
      </w:r>
      <w:r w:rsidR="007E221D">
        <w:rPr>
          <w:rFonts w:ascii="Times New Roman" w:hAnsi="Times New Roman"/>
          <w:sz w:val="28"/>
          <w:szCs w:val="28"/>
          <w:lang w:val="uk-UA"/>
        </w:rPr>
        <w:t>).</w:t>
      </w:r>
    </w:p>
    <w:p w:rsidR="007E221D" w:rsidRPr="00DD60BE" w:rsidRDefault="007E221D" w:rsidP="007E221D">
      <w:pPr>
        <w:pStyle w:val="a5"/>
        <w:ind w:firstLine="708"/>
        <w:rPr>
          <w:rFonts w:ascii="Times New Roman" w:hAnsi="Times New Roman"/>
          <w:sz w:val="28"/>
          <w:szCs w:val="28"/>
          <w:lang w:val="uk-UA"/>
        </w:rPr>
      </w:pPr>
    </w:p>
    <w:p w:rsidR="00DC4643" w:rsidRDefault="00DC4643" w:rsidP="00DC4643">
      <w:pPr>
        <w:pStyle w:val="a5"/>
        <w:ind w:hanging="284"/>
        <w:jc w:val="both"/>
        <w:rPr>
          <w:rFonts w:ascii="Times New Roman" w:hAnsi="Times New Roman"/>
          <w:sz w:val="28"/>
          <w:szCs w:val="28"/>
          <w:lang w:val="en-US"/>
        </w:rPr>
      </w:pPr>
      <w:r w:rsidRPr="00DC4643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41060" cy="3755747"/>
            <wp:effectExtent l="38100" t="0" r="40640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C4643" w:rsidRDefault="00DC4643" w:rsidP="00D73706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5191D" w:rsidRDefault="00991987" w:rsidP="00D73706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В першу чергу бюджетні кошти спрямовувались на фінансування соціально-культурної сфери: за звітний рік на зазначені видатки по загальному та спеціальному фонду </w:t>
      </w:r>
      <w:r w:rsidR="00D5191D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використано 36286,6 </w:t>
      </w:r>
      <w:proofErr w:type="spellStart"/>
      <w:r w:rsidR="00D5191D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тис.грн</w:t>
      </w:r>
      <w:proofErr w:type="spellEnd"/>
      <w:r w:rsidR="00D5191D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., або 51,1% усіх видатків, у тому числі на </w:t>
      </w:r>
      <w:r w:rsidR="007E221D" w:rsidRPr="004C1638">
        <w:rPr>
          <w:rFonts w:ascii="Times New Roman" w:hAnsi="Times New Roman"/>
          <w:sz w:val="28"/>
          <w:szCs w:val="28"/>
          <w:lang w:val="uk-UA"/>
        </w:rPr>
        <w:t>освіту</w:t>
      </w:r>
      <w:r w:rsidR="007E22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191D">
        <w:rPr>
          <w:rFonts w:ascii="Times New Roman" w:hAnsi="Times New Roman"/>
          <w:sz w:val="28"/>
          <w:szCs w:val="28"/>
          <w:lang w:val="uk-UA"/>
        </w:rPr>
        <w:t>–</w:t>
      </w:r>
      <w:r w:rsidR="007E221D" w:rsidRPr="004C16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191D">
        <w:rPr>
          <w:rFonts w:ascii="Times New Roman" w:hAnsi="Times New Roman"/>
          <w:sz w:val="28"/>
          <w:szCs w:val="28"/>
          <w:lang w:val="uk-UA"/>
        </w:rPr>
        <w:t>33729,0</w:t>
      </w:r>
      <w:r w:rsidR="007E22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E221D" w:rsidRPr="004C163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7E221D" w:rsidRPr="004C1638">
        <w:rPr>
          <w:rFonts w:ascii="Times New Roman" w:hAnsi="Times New Roman"/>
          <w:sz w:val="28"/>
          <w:szCs w:val="28"/>
          <w:lang w:val="uk-UA"/>
        </w:rPr>
        <w:t>., на соціальний захист та соціальне забезпечення</w:t>
      </w:r>
      <w:r w:rsidR="007E22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221D" w:rsidRPr="004C1638">
        <w:rPr>
          <w:rFonts w:ascii="Times New Roman" w:hAnsi="Times New Roman"/>
          <w:sz w:val="28"/>
          <w:szCs w:val="28"/>
          <w:lang w:val="uk-UA"/>
        </w:rPr>
        <w:t>-</w:t>
      </w:r>
      <w:r w:rsidR="007E22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221D" w:rsidRPr="004C1638">
        <w:rPr>
          <w:rFonts w:ascii="Times New Roman" w:hAnsi="Times New Roman"/>
          <w:sz w:val="28"/>
          <w:szCs w:val="28"/>
          <w:lang w:val="uk-UA"/>
        </w:rPr>
        <w:t xml:space="preserve">384,0 </w:t>
      </w:r>
      <w:proofErr w:type="spellStart"/>
      <w:r w:rsidR="007E221D" w:rsidRPr="004C163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7E221D" w:rsidRPr="004C1638">
        <w:rPr>
          <w:rFonts w:ascii="Times New Roman" w:hAnsi="Times New Roman"/>
          <w:sz w:val="28"/>
          <w:szCs w:val="28"/>
          <w:lang w:val="uk-UA"/>
        </w:rPr>
        <w:t>., на культуру і мистецтво</w:t>
      </w:r>
      <w:r w:rsidR="007E22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221D" w:rsidRPr="004C1638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D5191D">
        <w:rPr>
          <w:rFonts w:ascii="Times New Roman" w:hAnsi="Times New Roman"/>
          <w:sz w:val="28"/>
          <w:szCs w:val="28"/>
          <w:lang w:val="uk-UA"/>
        </w:rPr>
        <w:t>1158,2</w:t>
      </w:r>
      <w:r w:rsidR="007E22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E221D" w:rsidRPr="004C163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7E221D" w:rsidRPr="004C1638">
        <w:rPr>
          <w:rFonts w:ascii="Times New Roman" w:hAnsi="Times New Roman"/>
          <w:sz w:val="28"/>
          <w:szCs w:val="28"/>
          <w:lang w:val="uk-UA"/>
        </w:rPr>
        <w:t>.,</w:t>
      </w:r>
      <w:r w:rsidR="007E221D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7E221D" w:rsidRPr="004C1638">
        <w:rPr>
          <w:rFonts w:ascii="Times New Roman" w:hAnsi="Times New Roman"/>
          <w:sz w:val="28"/>
          <w:szCs w:val="28"/>
          <w:lang w:val="uk-UA"/>
        </w:rPr>
        <w:t>фізичну культуру і спорт</w:t>
      </w:r>
      <w:r w:rsidR="007E22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191D">
        <w:rPr>
          <w:rFonts w:ascii="Times New Roman" w:hAnsi="Times New Roman"/>
          <w:sz w:val="28"/>
          <w:szCs w:val="28"/>
          <w:lang w:val="uk-UA"/>
        </w:rPr>
        <w:t>–</w:t>
      </w:r>
      <w:r w:rsidR="007E221D" w:rsidRPr="004C16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191D">
        <w:rPr>
          <w:rFonts w:ascii="Times New Roman" w:hAnsi="Times New Roman"/>
          <w:sz w:val="28"/>
          <w:szCs w:val="28"/>
          <w:lang w:val="uk-UA"/>
        </w:rPr>
        <w:t>1015,4</w:t>
      </w:r>
      <w:r w:rsidR="007E22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E221D" w:rsidRPr="004C163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7E221D" w:rsidRPr="004C1638">
        <w:rPr>
          <w:rFonts w:ascii="Times New Roman" w:hAnsi="Times New Roman"/>
          <w:sz w:val="28"/>
          <w:szCs w:val="28"/>
          <w:lang w:val="uk-UA"/>
        </w:rPr>
        <w:t>.</w:t>
      </w:r>
    </w:p>
    <w:p w:rsidR="00D5191D" w:rsidRDefault="00D5191D" w:rsidP="00D73706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Видатки в сфері</w:t>
      </w:r>
      <w:r w:rsidR="007E22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221D" w:rsidRPr="004C1638">
        <w:rPr>
          <w:rFonts w:ascii="Times New Roman" w:hAnsi="Times New Roman"/>
          <w:sz w:val="28"/>
          <w:szCs w:val="28"/>
          <w:lang w:val="uk-UA"/>
        </w:rPr>
        <w:t>житлово-комунальн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="007E221D" w:rsidRPr="004C1638">
        <w:rPr>
          <w:rFonts w:ascii="Times New Roman" w:hAnsi="Times New Roman"/>
          <w:sz w:val="28"/>
          <w:szCs w:val="28"/>
          <w:lang w:val="uk-UA"/>
        </w:rPr>
        <w:t xml:space="preserve"> господарств</w:t>
      </w:r>
      <w:r>
        <w:rPr>
          <w:rFonts w:ascii="Times New Roman" w:hAnsi="Times New Roman"/>
          <w:sz w:val="28"/>
          <w:szCs w:val="28"/>
          <w:lang w:val="uk-UA"/>
        </w:rPr>
        <w:t xml:space="preserve">а, будівництва та дорожнього господарства за 2019 рік профінансовано в обсязі </w:t>
      </w:r>
      <w:r w:rsidR="00461FAA">
        <w:rPr>
          <w:rFonts w:ascii="Times New Roman" w:hAnsi="Times New Roman"/>
          <w:sz w:val="28"/>
          <w:szCs w:val="28"/>
          <w:lang w:val="uk-UA"/>
        </w:rPr>
        <w:t xml:space="preserve">16844,9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 з них на:</w:t>
      </w:r>
    </w:p>
    <w:p w:rsidR="00D5191D" w:rsidRDefault="00D5191D" w:rsidP="00D5191D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3BB2">
        <w:rPr>
          <w:rFonts w:ascii="Times New Roman" w:hAnsi="Times New Roman"/>
          <w:sz w:val="28"/>
          <w:szCs w:val="28"/>
          <w:lang w:val="uk-UA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>лагоустрій населених пунктів</w:t>
      </w:r>
      <w:r w:rsidR="007E221D" w:rsidRPr="004C1638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433FAD">
        <w:rPr>
          <w:rFonts w:ascii="Times New Roman" w:hAnsi="Times New Roman"/>
          <w:sz w:val="28"/>
          <w:szCs w:val="28"/>
          <w:lang w:val="uk-UA"/>
        </w:rPr>
        <w:t>7422,7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:rsidR="00D5191D" w:rsidRDefault="007E221D" w:rsidP="00D5191D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1638">
        <w:rPr>
          <w:rFonts w:ascii="Times New Roman" w:hAnsi="Times New Roman"/>
          <w:sz w:val="28"/>
          <w:szCs w:val="28"/>
          <w:lang w:val="uk-UA"/>
        </w:rPr>
        <w:t xml:space="preserve">заходи із землеустрою – 323,7 тис. грн., </w:t>
      </w:r>
    </w:p>
    <w:p w:rsidR="00D5191D" w:rsidRDefault="00153BB2" w:rsidP="00D5191D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D5191D">
        <w:rPr>
          <w:rFonts w:ascii="Times New Roman" w:hAnsi="Times New Roman"/>
          <w:sz w:val="28"/>
          <w:szCs w:val="28"/>
          <w:lang w:val="uk-UA"/>
        </w:rPr>
        <w:t>емонти дорожнього покриття та утримання доріг</w:t>
      </w:r>
      <w:r w:rsidR="007E221D" w:rsidRPr="004C1638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D5191D">
        <w:rPr>
          <w:rFonts w:ascii="Times New Roman" w:hAnsi="Times New Roman"/>
          <w:sz w:val="28"/>
          <w:szCs w:val="28"/>
          <w:lang w:val="uk-UA"/>
        </w:rPr>
        <w:t>5679,1</w:t>
      </w:r>
      <w:r w:rsidR="007E22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191D">
        <w:rPr>
          <w:rFonts w:ascii="Times New Roman" w:hAnsi="Times New Roman"/>
          <w:sz w:val="28"/>
          <w:szCs w:val="28"/>
          <w:lang w:val="uk-UA"/>
        </w:rPr>
        <w:t>тис. грн.;</w:t>
      </w:r>
    </w:p>
    <w:p w:rsidR="00153BB2" w:rsidRDefault="00153BB2" w:rsidP="00D5191D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будівництво та регіональний розвиток – 2785,</w:t>
      </w:r>
      <w:r w:rsidR="00433FAD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:rsidR="00433FAD" w:rsidRDefault="00433FAD" w:rsidP="00D5191D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цільові фонди – 120,1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:rsidR="00461FAA" w:rsidRDefault="007E221D" w:rsidP="00D5191D">
      <w:pPr>
        <w:pStyle w:val="a5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1638">
        <w:rPr>
          <w:rFonts w:ascii="Times New Roman" w:hAnsi="Times New Roman"/>
          <w:sz w:val="28"/>
          <w:szCs w:val="28"/>
          <w:lang w:val="uk-UA"/>
        </w:rPr>
        <w:t xml:space="preserve"> інші видатки – </w:t>
      </w:r>
      <w:r w:rsidR="00433FAD">
        <w:rPr>
          <w:rFonts w:ascii="Times New Roman" w:hAnsi="Times New Roman"/>
          <w:sz w:val="28"/>
          <w:szCs w:val="28"/>
          <w:lang w:val="uk-UA"/>
        </w:rPr>
        <w:t>513,6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C163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4C1638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232272" w:rsidRDefault="00232272" w:rsidP="00213176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2272" w:rsidRDefault="00232272" w:rsidP="00213176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F2946" w:rsidRPr="00CF2946" w:rsidRDefault="00CF2946" w:rsidP="00213176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Видатки </w:t>
      </w:r>
      <w:r w:rsidRPr="00091778">
        <w:rPr>
          <w:rFonts w:ascii="Times New Roman" w:hAnsi="Times New Roman"/>
          <w:sz w:val="28"/>
          <w:szCs w:val="28"/>
          <w:lang w:val="uk-UA"/>
        </w:rPr>
        <w:t>бю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091778">
        <w:rPr>
          <w:rFonts w:ascii="Times New Roman" w:hAnsi="Times New Roman"/>
          <w:sz w:val="28"/>
          <w:szCs w:val="28"/>
          <w:lang w:val="uk-UA"/>
        </w:rPr>
        <w:t>жету Тростянецької селищної об’єднаної 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за 2019 рік на захищені статті видатків склали </w:t>
      </w:r>
      <w:r w:rsidR="00DB1122">
        <w:rPr>
          <w:rFonts w:ascii="Times New Roman" w:hAnsi="Times New Roman"/>
          <w:sz w:val="28"/>
          <w:szCs w:val="28"/>
          <w:lang w:val="uk-UA"/>
        </w:rPr>
        <w:t>37874,1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або </w:t>
      </w:r>
      <w:r w:rsidR="00DB1122">
        <w:rPr>
          <w:rFonts w:ascii="Times New Roman" w:hAnsi="Times New Roman"/>
          <w:sz w:val="28"/>
          <w:szCs w:val="28"/>
          <w:lang w:val="uk-UA"/>
        </w:rPr>
        <w:t>53,4</w:t>
      </w:r>
      <w:r>
        <w:rPr>
          <w:rFonts w:ascii="Times New Roman" w:hAnsi="Times New Roman"/>
          <w:sz w:val="28"/>
          <w:szCs w:val="28"/>
          <w:lang w:val="uk-UA"/>
        </w:rPr>
        <w:t xml:space="preserve"> % видатків </w:t>
      </w:r>
      <w:r w:rsidR="001C27BD">
        <w:rPr>
          <w:rFonts w:ascii="Times New Roman" w:hAnsi="Times New Roman"/>
          <w:sz w:val="28"/>
          <w:szCs w:val="28"/>
          <w:lang w:val="uk-UA"/>
        </w:rPr>
        <w:t xml:space="preserve">бюджету громади., з них заробітна плата з нарахуваннями -32034,6 </w:t>
      </w:r>
      <w:proofErr w:type="spellStart"/>
      <w:r w:rsidR="001C27BD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1C27BD">
        <w:rPr>
          <w:rFonts w:ascii="Times New Roman" w:hAnsi="Times New Roman"/>
          <w:sz w:val="28"/>
          <w:szCs w:val="28"/>
          <w:lang w:val="uk-UA"/>
        </w:rPr>
        <w:t xml:space="preserve">.(46%), медикаменти та перев’язувальні матеріали - 8,3 </w:t>
      </w:r>
      <w:proofErr w:type="spellStart"/>
      <w:r w:rsidR="001C27BD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1C27BD">
        <w:rPr>
          <w:rFonts w:ascii="Times New Roman" w:hAnsi="Times New Roman"/>
          <w:sz w:val="28"/>
          <w:szCs w:val="28"/>
          <w:lang w:val="uk-UA"/>
        </w:rPr>
        <w:t xml:space="preserve">., продукти харчування - 1977,3 </w:t>
      </w:r>
      <w:proofErr w:type="spellStart"/>
      <w:r w:rsidR="001C27BD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1C27BD">
        <w:rPr>
          <w:rFonts w:ascii="Times New Roman" w:hAnsi="Times New Roman"/>
          <w:sz w:val="28"/>
          <w:szCs w:val="28"/>
          <w:lang w:val="uk-UA"/>
        </w:rPr>
        <w:t xml:space="preserve">.(3%),  видатки на оплату комунальних послуг та енергоносіїв - 3413,6 </w:t>
      </w:r>
      <w:proofErr w:type="spellStart"/>
      <w:r w:rsidR="001C27BD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1C27BD">
        <w:rPr>
          <w:rFonts w:ascii="Times New Roman" w:hAnsi="Times New Roman"/>
          <w:sz w:val="28"/>
          <w:szCs w:val="28"/>
          <w:lang w:val="uk-UA"/>
        </w:rPr>
        <w:t>.(5%)</w:t>
      </w:r>
      <w:r w:rsidR="009C7FC3">
        <w:rPr>
          <w:rFonts w:ascii="Times New Roman" w:hAnsi="Times New Roman"/>
          <w:sz w:val="28"/>
          <w:szCs w:val="28"/>
          <w:lang w:val="uk-UA"/>
        </w:rPr>
        <w:t xml:space="preserve">, інші виплати населенню та поточні трансферти органам державного управління інших рівнів – 448,6 </w:t>
      </w:r>
      <w:proofErr w:type="spellStart"/>
      <w:r w:rsidR="009C7FC3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9C7FC3">
        <w:rPr>
          <w:rFonts w:ascii="Times New Roman" w:hAnsi="Times New Roman"/>
          <w:sz w:val="28"/>
          <w:szCs w:val="28"/>
          <w:lang w:val="uk-UA"/>
        </w:rPr>
        <w:t>.(1%).</w:t>
      </w:r>
    </w:p>
    <w:p w:rsidR="00D73706" w:rsidRPr="00CF2946" w:rsidRDefault="00461FAA" w:rsidP="00213176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163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C4643" w:rsidRPr="00433FAD" w:rsidRDefault="00DC4643" w:rsidP="00DC4643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  <w:r w:rsidRPr="00DC4643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941060" cy="5132281"/>
            <wp:effectExtent l="19050" t="0" r="21590" b="0"/>
            <wp:docPr id="5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C4643" w:rsidRPr="00433FAD" w:rsidRDefault="00DC4643" w:rsidP="007E221D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1122" w:rsidRDefault="00DB1122" w:rsidP="00DB1122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Протягом 2019 року із бюджету громади до інших бюджетів передано  </w:t>
      </w:r>
      <w:r w:rsidRPr="004C1638">
        <w:rPr>
          <w:rFonts w:ascii="Times New Roman" w:hAnsi="Times New Roman"/>
          <w:sz w:val="28"/>
          <w:szCs w:val="28"/>
          <w:lang w:val="uk-UA"/>
        </w:rPr>
        <w:t>трансферт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4C163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 сумі</w:t>
      </w:r>
      <w:r w:rsidRPr="004C16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2272">
        <w:rPr>
          <w:rFonts w:ascii="Times New Roman" w:hAnsi="Times New Roman"/>
          <w:sz w:val="28"/>
          <w:szCs w:val="28"/>
          <w:lang w:val="uk-UA"/>
        </w:rPr>
        <w:t>7319,3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C163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4C1638">
        <w:rPr>
          <w:rFonts w:ascii="Times New Roman" w:hAnsi="Times New Roman"/>
          <w:sz w:val="28"/>
          <w:szCs w:val="28"/>
          <w:lang w:val="uk-UA"/>
        </w:rPr>
        <w:t>.</w:t>
      </w:r>
    </w:p>
    <w:p w:rsidR="00DB1122" w:rsidRDefault="00DB1122" w:rsidP="00DB1122">
      <w:pPr>
        <w:pStyle w:val="a5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До  бюджету Тростянецького району передано субвенцій на суму 7244,3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., з них:</w:t>
      </w:r>
    </w:p>
    <w:p w:rsidR="00DB1122" w:rsidRDefault="00DB1122" w:rsidP="00DB1122">
      <w:pPr>
        <w:pStyle w:val="a5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медичної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субвенціі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надання вторинної медичної допомоги </w:t>
      </w:r>
      <w:r w:rsidR="00B81FC9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5710,0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B1122" w:rsidRPr="00232272" w:rsidRDefault="00DB1122" w:rsidP="00DB1122">
      <w:pPr>
        <w:pStyle w:val="a5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інші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субвенціі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 місцевого бюджету на утримання комунальних закладів, які  надають послуги жителям Тростянецької ОТГ, забезпечення соціального захисту та соціального забезпечення населення, </w:t>
      </w:r>
      <w:r w:rsidRPr="000D4EFB">
        <w:rPr>
          <w:rFonts w:ascii="Times New Roman" w:eastAsia="Calibri" w:hAnsi="Times New Roman"/>
          <w:sz w:val="28"/>
          <w:szCs w:val="28"/>
          <w:lang w:val="uk-UA"/>
        </w:rPr>
        <w:t xml:space="preserve">виконання селищної програми «Збереження здоров’я жителів Тростянецької селищної </w:t>
      </w:r>
      <w:r w:rsidRPr="00232272">
        <w:rPr>
          <w:rFonts w:ascii="Times New Roman" w:eastAsia="Calibri" w:hAnsi="Times New Roman"/>
          <w:sz w:val="28"/>
          <w:szCs w:val="28"/>
          <w:lang w:val="uk-UA"/>
        </w:rPr>
        <w:lastRenderedPageBreak/>
        <w:t>об’єднаної територіальної громади»</w:t>
      </w:r>
      <w:r w:rsidR="00B81FC9" w:rsidRPr="00232272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proofErr w:type="spellStart"/>
      <w:r w:rsidR="00B81FC9" w:rsidRPr="00232272">
        <w:rPr>
          <w:rFonts w:ascii="Times New Roman" w:eastAsia="Calibri" w:hAnsi="Times New Roman"/>
          <w:sz w:val="28"/>
          <w:szCs w:val="28"/>
          <w:lang w:val="uk-UA"/>
        </w:rPr>
        <w:t>співфінансування</w:t>
      </w:r>
      <w:proofErr w:type="spellEnd"/>
      <w:r w:rsidR="00B81FC9" w:rsidRPr="00232272">
        <w:rPr>
          <w:rFonts w:ascii="Times New Roman" w:eastAsia="Calibri" w:hAnsi="Times New Roman"/>
          <w:sz w:val="28"/>
          <w:szCs w:val="28"/>
          <w:lang w:val="uk-UA"/>
        </w:rPr>
        <w:t xml:space="preserve"> проведення поточного ремонту цифрового флюорографа КНП «Тростянецька ЦРЛ» -1534,3 </w:t>
      </w:r>
      <w:proofErr w:type="spellStart"/>
      <w:r w:rsidR="00B81FC9" w:rsidRPr="00232272">
        <w:rPr>
          <w:rFonts w:ascii="Times New Roman" w:eastAsia="Calibri" w:hAnsi="Times New Roman"/>
          <w:sz w:val="28"/>
          <w:szCs w:val="28"/>
          <w:lang w:val="uk-UA"/>
        </w:rPr>
        <w:t>тис.грн</w:t>
      </w:r>
      <w:proofErr w:type="spellEnd"/>
      <w:r w:rsidR="00B81FC9" w:rsidRPr="00232272">
        <w:rPr>
          <w:rFonts w:ascii="Times New Roman" w:eastAsia="Calibri" w:hAnsi="Times New Roman"/>
          <w:sz w:val="28"/>
          <w:szCs w:val="28"/>
          <w:lang w:val="uk-UA"/>
        </w:rPr>
        <w:t>.</w:t>
      </w:r>
    </w:p>
    <w:p w:rsidR="007E221D" w:rsidRDefault="00232272" w:rsidP="00793A8F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32272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B1122" w:rsidRPr="00232272">
        <w:rPr>
          <w:rFonts w:ascii="Times New Roman" w:hAnsi="Times New Roman" w:cs="Times New Roman"/>
          <w:sz w:val="28"/>
          <w:szCs w:val="28"/>
          <w:lang w:val="uk-UA"/>
        </w:rPr>
        <w:t xml:space="preserve">о державного бюджету </w:t>
      </w:r>
      <w:r w:rsidRPr="00232272">
        <w:rPr>
          <w:rFonts w:ascii="Times New Roman" w:hAnsi="Times New Roman" w:cs="Times New Roman"/>
          <w:sz w:val="28"/>
          <w:szCs w:val="28"/>
          <w:lang w:val="uk-UA"/>
        </w:rPr>
        <w:t xml:space="preserve">передано субвенцію з місцевого бюджету </w:t>
      </w:r>
      <w:r w:rsidR="00DB1122" w:rsidRPr="00232272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програм </w:t>
      </w:r>
      <w:r w:rsidRPr="00232272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розвитку  </w:t>
      </w:r>
      <w:r>
        <w:rPr>
          <w:rFonts w:ascii="Times New Roman" w:hAnsi="Times New Roman" w:cs="Times New Roman"/>
          <w:sz w:val="28"/>
          <w:szCs w:val="28"/>
          <w:lang w:val="uk-UA"/>
        </w:rPr>
        <w:t>регіонів</w:t>
      </w:r>
      <w:r w:rsidRPr="00232272">
        <w:rPr>
          <w:rFonts w:ascii="Times New Roman" w:hAnsi="Times New Roman" w:cs="Times New Roman"/>
          <w:sz w:val="28"/>
          <w:szCs w:val="28"/>
          <w:lang w:val="uk-UA"/>
        </w:rPr>
        <w:t xml:space="preserve"> в сумі </w:t>
      </w:r>
      <w:r w:rsidR="00DB1122" w:rsidRPr="00232272">
        <w:rPr>
          <w:rFonts w:ascii="Times New Roman" w:hAnsi="Times New Roman" w:cs="Times New Roman"/>
          <w:sz w:val="28"/>
          <w:szCs w:val="28"/>
          <w:lang w:val="uk-UA"/>
        </w:rPr>
        <w:t>75,0 тис. грн.</w:t>
      </w:r>
      <w:r w:rsidRPr="0023227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в тому числі для Тростянецького РВК</w:t>
      </w:r>
      <w:r w:rsidRPr="002322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придбання канцтоварів та  бланків, придбання оргтехніки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50,0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., для Тростянецької ДПРЧ на  </w:t>
      </w:r>
      <w:r w:rsidRPr="0023227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придбання зимових курток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– 25,0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2322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793A8F" w:rsidRPr="00793A8F" w:rsidRDefault="00793A8F" w:rsidP="00793A8F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Кредиторська заборгованість по загальному та спеціальному фонду бюджету Тростянецької селищної об’єднаної територіальної громади станом на 01 січня 2020 року за даними казначейської звітності відсутня.</w:t>
      </w:r>
    </w:p>
    <w:p w:rsidR="007E221D" w:rsidRDefault="007E221D" w:rsidP="007E221D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A80" w:rsidRDefault="00091A80" w:rsidP="007E221D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1A80" w:rsidRDefault="00091A80" w:rsidP="007E221D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091A80" w:rsidSect="00DC4643">
      <w:pgSz w:w="11906" w:h="16838"/>
      <w:pgMar w:top="851" w:right="849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F364D"/>
    <w:multiLevelType w:val="hybridMultilevel"/>
    <w:tmpl w:val="DBA871DC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5FCB442F"/>
    <w:multiLevelType w:val="hybridMultilevel"/>
    <w:tmpl w:val="E4CC0AF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221D"/>
    <w:rsid w:val="00091A80"/>
    <w:rsid w:val="00153BB2"/>
    <w:rsid w:val="001C27BD"/>
    <w:rsid w:val="00213176"/>
    <w:rsid w:val="00232272"/>
    <w:rsid w:val="002B2791"/>
    <w:rsid w:val="00377543"/>
    <w:rsid w:val="00385F3C"/>
    <w:rsid w:val="00422E08"/>
    <w:rsid w:val="00433FAD"/>
    <w:rsid w:val="00434277"/>
    <w:rsid w:val="00461FAA"/>
    <w:rsid w:val="00506BE3"/>
    <w:rsid w:val="00623BB6"/>
    <w:rsid w:val="007041EC"/>
    <w:rsid w:val="00793A8F"/>
    <w:rsid w:val="007E221D"/>
    <w:rsid w:val="008263CB"/>
    <w:rsid w:val="0093501B"/>
    <w:rsid w:val="00991987"/>
    <w:rsid w:val="009C7FC3"/>
    <w:rsid w:val="00B457CF"/>
    <w:rsid w:val="00B81FC9"/>
    <w:rsid w:val="00B95988"/>
    <w:rsid w:val="00C21284"/>
    <w:rsid w:val="00CF2946"/>
    <w:rsid w:val="00D5191D"/>
    <w:rsid w:val="00D73706"/>
    <w:rsid w:val="00DB1122"/>
    <w:rsid w:val="00DB39F0"/>
    <w:rsid w:val="00DC4643"/>
    <w:rsid w:val="00E33BC3"/>
    <w:rsid w:val="00E67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7E221D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7E221D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No Spacing"/>
    <w:uiPriority w:val="1"/>
    <w:qFormat/>
    <w:rsid w:val="007E221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7E22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7E2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21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232272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2322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9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Microsoft_Office_PowerPoint1.sldx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User\Desktop\&#1074;&#1110;&#1079;&#1091;&#1072;&#1083;&#1110;&#1079;&#1072;&#1094;&#1110;&#1103;%20&#1073;&#1102;&#1076;&#1078;&#1077;&#1090;&#1091;\&#1055;&#1056;&#1045;&#1047;&#1045;&#1053;&#1058;&#1040;&#1062;&#1030;&#1071;1\&#1050;&#1085;&#1080;&#1075;&#1072;1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User\Desktop\&#1074;&#1110;&#1079;&#1091;&#1072;&#1083;&#1110;&#1079;&#1072;&#1094;&#1110;&#1103;%20&#1073;&#1102;&#1076;&#1078;&#1077;&#1090;&#1091;\&#1055;&#1056;&#1045;&#1047;&#1045;&#1053;&#1058;&#1040;&#1062;&#1030;&#1071;1\&#1050;&#1085;&#1080;&#1075;&#1072;2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C:\Users\User\Desktop\&#1074;&#1110;&#1079;&#1091;&#1072;&#1083;&#1110;&#1079;&#1072;&#1094;&#1110;&#1103;%20&#1073;&#1102;&#1076;&#1078;&#1077;&#1090;&#1091;\&#1055;&#1056;&#1045;&#1047;&#1045;&#1053;&#1058;&#1040;&#1062;&#1030;&#1071;1\&#1050;&#1085;&#1080;&#1075;&#1072;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6"/>
  <c:chart>
    <c:autoTitleDeleted val="1"/>
    <c:plotArea>
      <c:layout>
        <c:manualLayout>
          <c:layoutTarget val="inner"/>
          <c:xMode val="edge"/>
          <c:yMode val="edge"/>
          <c:x val="6.6262349228818324E-2"/>
          <c:y val="0.17142918407952362"/>
          <c:w val="0.5304192102391696"/>
          <c:h val="0.81193595604906565"/>
        </c:manualLayout>
      </c:layout>
      <c:pieChart>
        <c:varyColors val="1"/>
        <c:ser>
          <c:idx val="0"/>
          <c:order val="0"/>
          <c:explosion val="18"/>
          <c:dPt>
            <c:idx val="0"/>
            <c:explosion val="6"/>
          </c:dPt>
          <c:dPt>
            <c:idx val="1"/>
            <c:explosion val="17"/>
          </c:dPt>
          <c:dLbls>
            <c:txPr>
              <a:bodyPr/>
              <a:lstStyle/>
              <a:p>
                <a:pPr>
                  <a:defRPr lang="uk-UA"/>
                </a:pPr>
                <a:endParaRPr lang="ru-RU"/>
              </a:p>
            </c:txPr>
            <c:showPercent val="1"/>
          </c:dLbls>
          <c:cat>
            <c:strRef>
              <c:f>Лист1!$F$32:$F$35</c:f>
              <c:strCache>
                <c:ptCount val="4"/>
                <c:pt idx="0">
                  <c:v>Власні надходження бюджетних установ, 1 853 тис.грн.</c:v>
                </c:pt>
                <c:pt idx="1">
                  <c:v>Надходження до бюджету розвитку,  994,5тис.грн.</c:v>
                </c:pt>
                <c:pt idx="2">
                  <c:v>Цільові фонди,  173,6тис.грн.</c:v>
                </c:pt>
                <c:pt idx="3">
                  <c:v>Кошти охорони навколишнього природного серодовища, 83,7тис.грн.</c:v>
                </c:pt>
              </c:strCache>
            </c:strRef>
          </c:cat>
          <c:val>
            <c:numRef>
              <c:f>Лист1!$J$32:$J$35</c:f>
              <c:numCache>
                <c:formatCode>General</c:formatCode>
                <c:ptCount val="4"/>
                <c:pt idx="0">
                  <c:v>1853.3</c:v>
                </c:pt>
                <c:pt idx="1">
                  <c:v>994.5</c:v>
                </c:pt>
                <c:pt idx="2">
                  <c:v>173.6</c:v>
                </c:pt>
                <c:pt idx="3">
                  <c:v>83.7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 lang="uk-UA"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lang="uk-UA"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lang="uk-UA"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lang="uk-UA" sz="12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8419741071691822"/>
          <c:y val="0.27311041114844226"/>
          <c:w val="0.40135318057152969"/>
          <c:h val="0.50537706005897898"/>
        </c:manualLayout>
      </c:layout>
      <c:txPr>
        <a:bodyPr/>
        <a:lstStyle/>
        <a:p>
          <a:pPr>
            <a:defRPr lang="uk-UA" sz="1050" b="1"/>
          </a:pPr>
          <a:endParaRPr lang="ru-RU"/>
        </a:p>
      </c:txPr>
    </c:legend>
    <c:plotVisOnly val="1"/>
  </c:chart>
  <c:spPr>
    <a:gradFill>
      <a:gsLst>
        <a:gs pos="0">
          <a:srgbClr val="4F81BD">
            <a:tint val="66000"/>
            <a:satMod val="160000"/>
          </a:srgbClr>
        </a:gs>
        <a:gs pos="50000">
          <a:srgbClr val="4F81BD">
            <a:tint val="44500"/>
            <a:satMod val="160000"/>
          </a:srgbClr>
        </a:gs>
        <a:gs pos="100000">
          <a:srgbClr val="4F81BD">
            <a:tint val="23500"/>
            <a:satMod val="160000"/>
          </a:srgbClr>
        </a:gs>
      </a:gsLst>
      <a:lin ang="5400000" scaled="0"/>
    </a:gradFill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26885186204871242"/>
          <c:y val="0.19820801025825968"/>
          <c:w val="0.43991865352495363"/>
          <c:h val="0.80036090908483759"/>
        </c:manualLayout>
      </c:layout>
      <c:pieChart>
        <c:varyColors val="1"/>
        <c:ser>
          <c:idx val="0"/>
          <c:order val="0"/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Освіта
48%</a:t>
                    </a:r>
                  </a:p>
                </c:rich>
              </c:tx>
              <c:showCatName val="1"/>
              <c:showPercent val="1"/>
            </c:dLbl>
            <c:dLbl>
              <c:idx val="2"/>
              <c:layout>
                <c:manualLayout>
                  <c:x val="7.5157829047592828E-2"/>
                  <c:y val="-1.5280235988200481E-2"/>
                </c:manualLayout>
              </c:layout>
              <c:showCatName val="1"/>
              <c:showPercent val="1"/>
            </c:dLbl>
            <c:dLbl>
              <c:idx val="4"/>
              <c:layout>
                <c:manualLayout>
                  <c:x val="4.7664923003505749E-2"/>
                  <c:y val="-1.0220890530276635E-2"/>
                </c:manualLayout>
              </c:layout>
              <c:showCatName val="1"/>
              <c:showPercent val="1"/>
            </c:dLbl>
            <c:dLbl>
              <c:idx val="5"/>
              <c:layout>
                <c:manualLayout>
                  <c:x val="1.2473982710203179E-2"/>
                  <c:y val="1.3101526026060925E-2"/>
                </c:manualLayout>
              </c:layout>
              <c:showCatName val="1"/>
              <c:showPercent val="1"/>
            </c:dLbl>
            <c:dLbl>
              <c:idx val="7"/>
              <c:layout>
                <c:manualLayout>
                  <c:x val="1.4003560743718248E-2"/>
                  <c:y val="2.7189742875061034E-3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lang="ru-RU"/>
                </a:pPr>
                <a:endParaRPr lang="ru-RU"/>
              </a:p>
            </c:txPr>
            <c:showCatName val="1"/>
            <c:showPercent val="1"/>
          </c:dLbls>
          <c:cat>
            <c:strRef>
              <c:f>[Книга2.xlsx]Лист2!$D$9:$D$18</c:f>
              <c:strCache>
                <c:ptCount val="10"/>
                <c:pt idx="0">
                  <c:v>Освіта</c:v>
                </c:pt>
                <c:pt idx="1">
                  <c:v>Фізична культура і спорт</c:v>
                </c:pt>
                <c:pt idx="2">
                  <c:v>Житлово--комунальне господарство</c:v>
                </c:pt>
                <c:pt idx="3">
                  <c:v>Культура </c:v>
                </c:pt>
                <c:pt idx="4">
                  <c:v>Ремонт та утримання доріг</c:v>
                </c:pt>
                <c:pt idx="5">
                  <c:v>Будівництво та регіональний розвиток</c:v>
                </c:pt>
                <c:pt idx="6">
                  <c:v>Інші видатки</c:v>
                </c:pt>
                <c:pt idx="7">
                  <c:v>Трансферти іншим бюджетам</c:v>
                </c:pt>
                <c:pt idx="8">
                  <c:v>Соціальний захист</c:v>
                </c:pt>
                <c:pt idx="9">
                  <c:v>Державне управління</c:v>
                </c:pt>
              </c:strCache>
            </c:strRef>
          </c:cat>
          <c:val>
            <c:numRef>
              <c:f>[Книга2.xlsx]Лист2!$F$9:$F$18</c:f>
              <c:numCache>
                <c:formatCode>General</c:formatCode>
                <c:ptCount val="10"/>
                <c:pt idx="0">
                  <c:v>33729</c:v>
                </c:pt>
                <c:pt idx="1">
                  <c:v>1015.4</c:v>
                </c:pt>
                <c:pt idx="2">
                  <c:v>7864.7</c:v>
                </c:pt>
                <c:pt idx="3">
                  <c:v>1158.2</c:v>
                </c:pt>
                <c:pt idx="4">
                  <c:v>5679.1</c:v>
                </c:pt>
                <c:pt idx="5">
                  <c:v>2785.7</c:v>
                </c:pt>
                <c:pt idx="6">
                  <c:v>1122.8</c:v>
                </c:pt>
                <c:pt idx="7">
                  <c:v>7319.3</c:v>
                </c:pt>
                <c:pt idx="8">
                  <c:v>384</c:v>
                </c:pt>
                <c:pt idx="9">
                  <c:v>9936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  <c:dispBlanksAs val="zero"/>
  </c:chart>
  <c:spPr>
    <a:gradFill>
      <a:gsLst>
        <a:gs pos="0">
          <a:srgbClr val="4F81BD">
            <a:tint val="66000"/>
            <a:satMod val="160000"/>
          </a:srgbClr>
        </a:gs>
        <a:gs pos="50000">
          <a:srgbClr val="4F81BD">
            <a:tint val="44500"/>
            <a:satMod val="160000"/>
          </a:srgbClr>
        </a:gs>
        <a:gs pos="100000">
          <a:srgbClr val="4F81BD">
            <a:tint val="23500"/>
            <a:satMod val="160000"/>
          </a:srgbClr>
        </a:gs>
      </a:gsLst>
      <a:lin ang="5400000" scaled="0"/>
    </a:gradFill>
  </c:spPr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20430376845891468"/>
          <c:y val="0.11422413793103468"/>
          <c:w val="0.58313551450098045"/>
          <c:h val="0.81178160919540265"/>
        </c:manualLayout>
      </c:layout>
      <c:pieChart>
        <c:varyColors val="1"/>
        <c:ser>
          <c:idx val="0"/>
          <c:order val="0"/>
          <c:explosion val="24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Оплата праці з нарахуванням
46%</a:t>
                    </a:r>
                  </a:p>
                </c:rich>
              </c:tx>
              <c:showCatName val="1"/>
              <c:showPercent val="1"/>
            </c:dLbl>
            <c:dLbl>
              <c:idx val="1"/>
              <c:layout>
                <c:manualLayout>
                  <c:x val="4.2072063213173812E-2"/>
                  <c:y val="-2.2622978579290548E-2"/>
                </c:manualLayout>
              </c:layout>
              <c:showCatName val="1"/>
              <c:showPercent val="1"/>
            </c:dLbl>
            <c:dLbl>
              <c:idx val="3"/>
              <c:layout>
                <c:manualLayout>
                  <c:x val="-1.0933740104656388E-3"/>
                  <c:y val="-3.7338074676149406E-2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lang="ru-RU"/>
                </a:pPr>
                <a:endParaRPr lang="ru-RU"/>
              </a:p>
            </c:txPr>
            <c:showCatName val="1"/>
            <c:showPercent val="1"/>
          </c:dLbls>
          <c:cat>
            <c:strRef>
              <c:f>Лист2!$D$38:$D$44</c:f>
              <c:strCache>
                <c:ptCount val="7"/>
                <c:pt idx="0">
                  <c:v>Оплата праці з нарахуванням</c:v>
                </c:pt>
                <c:pt idx="1">
                  <c:v>Опплата енергоносіїв</c:v>
                </c:pt>
                <c:pt idx="2">
                  <c:v>Харчування </c:v>
                </c:pt>
                <c:pt idx="3">
                  <c:v>Капітальні видатки</c:v>
                </c:pt>
                <c:pt idx="4">
                  <c:v>Соціальне забезпечення</c:v>
                </c:pt>
                <c:pt idx="5">
                  <c:v>Трансферти іншим бюджетам</c:v>
                </c:pt>
                <c:pt idx="6">
                  <c:v>Інші видатки</c:v>
                </c:pt>
              </c:strCache>
            </c:strRef>
          </c:cat>
          <c:val>
            <c:numRef>
              <c:f>Лист2!$F$38:$F$44</c:f>
              <c:numCache>
                <c:formatCode>General</c:formatCode>
                <c:ptCount val="7"/>
                <c:pt idx="0">
                  <c:v>32034.6</c:v>
                </c:pt>
                <c:pt idx="1">
                  <c:v>3413.6</c:v>
                </c:pt>
                <c:pt idx="2">
                  <c:v>1977.3</c:v>
                </c:pt>
                <c:pt idx="3">
                  <c:v>12693</c:v>
                </c:pt>
                <c:pt idx="4">
                  <c:v>408.6</c:v>
                </c:pt>
                <c:pt idx="5">
                  <c:v>14560.2</c:v>
                </c:pt>
                <c:pt idx="6">
                  <c:v>5906.9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  <c:dispBlanksAs val="zero"/>
  </c:chart>
  <c:spPr>
    <a:gradFill>
      <a:gsLst>
        <a:gs pos="0">
          <a:srgbClr val="4F81BD">
            <a:tint val="66000"/>
            <a:satMod val="160000"/>
          </a:srgbClr>
        </a:gs>
        <a:gs pos="50000">
          <a:srgbClr val="4F81BD">
            <a:tint val="44500"/>
            <a:satMod val="160000"/>
          </a:srgbClr>
        </a:gs>
        <a:gs pos="100000">
          <a:srgbClr val="4F81BD">
            <a:tint val="23500"/>
            <a:satMod val="160000"/>
          </a:srgbClr>
        </a:gs>
      </a:gsLst>
      <a:lin ang="5400000" scaled="0"/>
    </a:gradFill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1</cdr:x>
      <cdr:y>0.16339</cdr:y>
    </cdr:to>
    <cdr:sp macro="" textlink="">
      <cdr:nvSpPr>
        <cdr:cNvPr id="2" name="Заголовок 1"/>
        <cdr:cNvSpPr>
          <a:spLocks xmlns:a="http://schemas.openxmlformats.org/drawingml/2006/main" noGrp="1"/>
        </cdr:cNvSpPr>
      </cdr:nvSpPr>
      <cdr:spPr>
        <a:xfrm xmlns:a="http://schemas.openxmlformats.org/drawingml/2006/main">
          <a:off x="0" y="0"/>
          <a:ext cx="6781800" cy="7239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horz" lIns="91440" tIns="45720" rIns="91440" bIns="45720" rtlCol="0" anchor="ctr">
          <a:noAutofit/>
        </a:bodyPr>
        <a:lstStyle xmlns:a="http://schemas.openxmlformats.org/drawingml/2006/main">
          <a:lvl1pPr algn="ctr" defTabSz="914400" rtl="0" eaLnBrk="1" latinLnBrk="0" hangingPunct="1">
            <a:spcBef>
              <a:spcPct val="0"/>
            </a:spcBef>
            <a:buNone/>
            <a:defRPr sz="4400" kern="1200">
              <a:solidFill>
                <a:sysClr val="windowText" lastClr="000000"/>
              </a:solidFill>
              <a:latin typeface="Calibri"/>
            </a:defRPr>
          </a:lvl1pPr>
        </a:lstStyle>
        <a:p xmlns:a="http://schemas.openxmlformats.org/drawingml/2006/main">
          <a:r>
            <a:rPr lang="uk-UA" sz="2000" dirty="0" smtClean="0">
              <a:latin typeface="Times New Roman" pitchFamily="18" charset="0"/>
              <a:cs typeface="Times New Roman" pitchFamily="18" charset="0"/>
            </a:rPr>
            <a:t>Структура доходів спеціального фонду бюджету Тростянецької ОТГ за 2019 рік</a:t>
          </a:r>
          <a:endParaRPr lang="uk-UA" sz="2000" dirty="0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7.97973E-17</cdr:x>
      <cdr:y>0</cdr:y>
    </cdr:from>
    <cdr:to>
      <cdr:x>1</cdr:x>
      <cdr:y>0.26463</cdr:y>
    </cdr:to>
    <cdr:sp macro="" textlink="">
      <cdr:nvSpPr>
        <cdr:cNvPr id="2" name="Заголовок 1"/>
        <cdr:cNvSpPr>
          <a:spLocks xmlns:a="http://schemas.openxmlformats.org/drawingml/2006/main" noGrp="1"/>
        </cdr:cNvSpPr>
      </cdr:nvSpPr>
      <cdr:spPr>
        <a:xfrm xmlns:a="http://schemas.openxmlformats.org/drawingml/2006/main">
          <a:off x="114300" y="-323850"/>
          <a:ext cx="6810375" cy="9906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horz" lIns="91440" tIns="45720" rIns="91440" bIns="45720" rtlCol="0" anchor="ctr">
          <a:noAutofit/>
        </a:bodyPr>
        <a:lstStyle xmlns:a="http://schemas.openxmlformats.org/drawingml/2006/main">
          <a:lvl1pPr algn="ctr" defTabSz="914400" rtl="0" eaLnBrk="1" latinLnBrk="0" hangingPunct="1">
            <a:spcBef>
              <a:spcPct val="0"/>
            </a:spcBef>
            <a:buNone/>
            <a:defRPr sz="4400" kern="1200">
              <a:solidFill>
                <a:sysClr val="windowText" lastClr="000000"/>
              </a:solidFill>
              <a:latin typeface="Calibri"/>
            </a:defRPr>
          </a:lvl1pPr>
        </a:lstStyle>
        <a:p xmlns:a="http://schemas.openxmlformats.org/drawingml/2006/main">
          <a:r>
            <a:rPr lang="uk-UA" sz="2000" dirty="0" smtClean="0">
              <a:latin typeface="Times New Roman" pitchFamily="18" charset="0"/>
              <a:cs typeface="Times New Roman" pitchFamily="18" charset="0"/>
            </a:rPr>
            <a:t>Видатки бюджету громади за галузевою структурою </a:t>
          </a:r>
          <a:br>
            <a:rPr lang="uk-UA" sz="2000" dirty="0" smtClean="0">
              <a:latin typeface="Times New Roman" pitchFamily="18" charset="0"/>
              <a:cs typeface="Times New Roman" pitchFamily="18" charset="0"/>
            </a:rPr>
          </a:br>
          <a:r>
            <a:rPr lang="uk-UA" sz="2000" dirty="0" smtClean="0">
              <a:latin typeface="Times New Roman" pitchFamily="18" charset="0"/>
              <a:cs typeface="Times New Roman" pitchFamily="18" charset="0"/>
            </a:rPr>
            <a:t>(загальний і спеціальний фонди)</a:t>
          </a:r>
          <a:endParaRPr lang="uk-UA" sz="2000" dirty="0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</cdr:x>
      <cdr:y>0</cdr:y>
    </cdr:from>
    <cdr:to>
      <cdr:x>1</cdr:x>
      <cdr:y>0.22388</cdr:y>
    </cdr:to>
    <cdr:sp macro="" textlink="">
      <cdr:nvSpPr>
        <cdr:cNvPr id="2" name="Заголовок 1"/>
        <cdr:cNvSpPr>
          <a:spLocks xmlns:a="http://schemas.openxmlformats.org/drawingml/2006/main" noGrp="1"/>
        </cdr:cNvSpPr>
      </cdr:nvSpPr>
      <cdr:spPr>
        <a:xfrm xmlns:a="http://schemas.openxmlformats.org/drawingml/2006/main">
          <a:off x="0" y="0"/>
          <a:ext cx="8229600" cy="11430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="horz" lIns="91440" tIns="45720" rIns="91440" bIns="45720" rtlCol="0" anchor="ctr">
          <a:normAutofit/>
        </a:bodyPr>
        <a:lstStyle xmlns:a="http://schemas.openxmlformats.org/drawingml/2006/main">
          <a:lvl1pPr algn="ctr" defTabSz="914400" rtl="0" eaLnBrk="1" latinLnBrk="0" hangingPunct="1">
            <a:spcBef>
              <a:spcPct val="0"/>
            </a:spcBef>
            <a:buNone/>
            <a:defRPr sz="4400" kern="1200">
              <a:solidFill>
                <a:sysClr val="windowText" lastClr="000000"/>
              </a:solidFill>
              <a:latin typeface="Calibri"/>
            </a:defRPr>
          </a:lvl1pPr>
        </a:lstStyle>
        <a:p xmlns:a="http://schemas.openxmlformats.org/drawingml/2006/main">
          <a:r>
            <a:rPr lang="uk-UA" sz="2000" dirty="0" smtClean="0">
              <a:latin typeface="Times New Roman" pitchFamily="18" charset="0"/>
              <a:cs typeface="Times New Roman" pitchFamily="18" charset="0"/>
            </a:rPr>
            <a:t>Видатки бюджету за економічною структурою (загальний і спеціальний фонди)</a:t>
          </a:r>
          <a:endParaRPr lang="ru-RU" sz="2000" dirty="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2020-02-28T09:47:00Z</cp:lastPrinted>
  <dcterms:created xsi:type="dcterms:W3CDTF">2020-02-27T11:17:00Z</dcterms:created>
  <dcterms:modified xsi:type="dcterms:W3CDTF">2020-02-28T13:05:00Z</dcterms:modified>
</cp:coreProperties>
</file>