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40"/>
        <w:gridCol w:w="40"/>
        <w:gridCol w:w="140"/>
        <w:gridCol w:w="20"/>
        <w:gridCol w:w="40"/>
        <w:gridCol w:w="40"/>
        <w:gridCol w:w="40"/>
        <w:gridCol w:w="20"/>
        <w:gridCol w:w="80"/>
        <w:gridCol w:w="160"/>
        <w:gridCol w:w="280"/>
        <w:gridCol w:w="80"/>
        <w:gridCol w:w="300"/>
        <w:gridCol w:w="80"/>
        <w:gridCol w:w="20"/>
        <w:gridCol w:w="80"/>
        <w:gridCol w:w="60"/>
        <w:gridCol w:w="200"/>
        <w:gridCol w:w="80"/>
        <w:gridCol w:w="280"/>
        <w:gridCol w:w="200"/>
        <w:gridCol w:w="80"/>
        <w:gridCol w:w="20"/>
        <w:gridCol w:w="80"/>
        <w:gridCol w:w="20"/>
        <w:gridCol w:w="220"/>
        <w:gridCol w:w="20"/>
        <w:gridCol w:w="100"/>
        <w:gridCol w:w="360"/>
        <w:gridCol w:w="100"/>
        <w:gridCol w:w="80"/>
        <w:gridCol w:w="100"/>
        <w:gridCol w:w="20"/>
        <w:gridCol w:w="120"/>
        <w:gridCol w:w="120"/>
        <w:gridCol w:w="200"/>
        <w:gridCol w:w="40"/>
        <w:gridCol w:w="320"/>
        <w:gridCol w:w="80"/>
        <w:gridCol w:w="20"/>
        <w:gridCol w:w="80"/>
        <w:gridCol w:w="40"/>
        <w:gridCol w:w="80"/>
        <w:gridCol w:w="440"/>
        <w:gridCol w:w="100"/>
        <w:gridCol w:w="60"/>
        <w:gridCol w:w="100"/>
        <w:gridCol w:w="80"/>
        <w:gridCol w:w="40"/>
        <w:gridCol w:w="60"/>
        <w:gridCol w:w="120"/>
        <w:gridCol w:w="540"/>
        <w:gridCol w:w="180"/>
        <w:gridCol w:w="40"/>
        <w:gridCol w:w="40"/>
        <w:gridCol w:w="40"/>
        <w:gridCol w:w="40"/>
        <w:gridCol w:w="40"/>
        <w:gridCol w:w="280"/>
        <w:gridCol w:w="80"/>
      </w:tblGrid>
      <w:tr w:rsidR="0018198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r>
              <w:rPr>
                <w:b/>
              </w:rPr>
              <w:t xml:space="preserve">Відділу освіти, культури, медицини, молоді, спорту та соціального захисту Тростянецької селищної </w:t>
            </w: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5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r>
              <w:t xml:space="preserve"> Відділ ОКММССЗ Тростянецької СР</w:t>
            </w: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660" w:type="dxa"/>
            <w:gridSpan w:val="57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t>0614030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t>4030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t>0824</w:t>
            </w:r>
          </w:p>
        </w:tc>
        <w:tc>
          <w:tcPr>
            <w:tcW w:w="6520" w:type="dxa"/>
            <w:gridSpan w:val="5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both"/>
            </w:pPr>
            <w:r>
              <w:t>Забезпечення діяльності бібліотек</w:t>
            </w: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360" w:type="dxa"/>
            <w:gridSpan w:val="1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t>02535000000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360" w:type="dxa"/>
            <w:gridSpan w:val="1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81981" w:rsidRDefault="00CA249C">
            <w:pPr>
              <w:spacing w:after="200"/>
              <w:ind w:left="500"/>
            </w:pPr>
            <w:r>
              <w:t>Забезпечення прав громадян на бібліотечне обслуговування, загальну доступність до інформації та культурних цінностей, що збираються, зберіг</w:t>
            </w:r>
            <w:r>
              <w:t>аються, надаються в тимчасове користування бібліотеками </w:t>
            </w: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81981" w:rsidRDefault="00CA249C">
            <w:pPr>
              <w:ind w:left="500"/>
            </w:pPr>
            <w: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t>виконанням  </w:t>
            </w: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186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81981" w:rsidRDefault="00CA249C">
            <w:pPr>
              <w:ind w:left="500"/>
            </w:pPr>
            <w:r>
              <w:t>Конституція України, Закон України від 28.06.1996 року №254/6, Бюджетний Кодекс України від 08.07.2010 № 246-VI, Закон України від 25.05.1997 №280/97-ВР «Про місцеве самоврядування в Україні», Закон України від 23.11.2018 року №2629-VIII «Про Державний бюд</w:t>
            </w:r>
            <w:r>
              <w:t>жет України на 2019 рік», постанова КМУ від 28 лютого 2002 року №228 «Про  затвердження Порядку складання, розгляду, затвердження та основних вимог до виконання кошторисів бюджетних установ» , наказ Міністерства фінансів України від 26.08.2014 №836 «Про де</w:t>
            </w:r>
            <w:r>
              <w:t>які питання запровадження програмно-цільового методу складання та виконання місцевих бюджетів», Закон України «Про бібліотеки і бібліотечну справу», наказ міністерства культури і туризму України від 18.10.2005 року №745 «Про впорядкування умов оплати  прац</w:t>
            </w:r>
            <w:r>
              <w:t>і працівників культури на основі тарифної сітки», наказ Міністерства фінансів України та Міністерства культури та туризму України від 01.10.2010 р. №1150/41 «Про затвердження Типового переліку програмної класифікації видатків та результативних показників ї</w:t>
            </w:r>
            <w:r>
              <w:t>х виконання для місцевих бюджетів у галузі «Культура»,  наказ Міністерства фінансів України «Про затвердження складових програмної класифікації видатків та кредитування місцевих бюджетів» від 0.09.2017 року №793 (зі змінами)</w:t>
            </w: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3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81981" w:rsidRDefault="0018198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2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519 273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519 273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619 560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619 560</w:t>
            </w: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619 560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47 000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666 560</w:t>
            </w: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669 124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669 124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709 940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709 940</w:t>
            </w: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50 760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50 760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53 856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53 856</w:t>
            </w: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669 124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50 760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719 884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709 940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53 856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763 796</w:t>
            </w: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2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2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306 863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306 863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422 967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422 967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67 510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67 510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93 053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93 053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14 500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14 500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5 400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320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1 088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1 088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33 000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33 000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13 932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13 932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78 200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78 200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47 000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2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2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619 560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47 000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666 560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18198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456 804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456 804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484 669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484 669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100 497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100 497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106 628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106 628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5 729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5 729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5 729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5 729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346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346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367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367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1 175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1 175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1 246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1 246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15 046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15 046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15 964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15 964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84 456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84 456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89 608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89 608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50 760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50 760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53 856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53 856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669 124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50 760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719 884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709 940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53 856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763 796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8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168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rPr>
                <w:rFonts w:ascii="Arial" w:eastAsia="Arial" w:hAnsi="Arial" w:cs="Arial"/>
                <w:sz w:val="16"/>
              </w:rPr>
              <w:t>виконанням 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519 273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619 560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666 560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619 560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47 000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666 560</w:t>
            </w: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</w:t>
            </w:r>
            <w:r>
              <w:rPr>
                <w:rFonts w:ascii="Arial" w:eastAsia="Arial" w:hAnsi="Arial" w:cs="Arial"/>
                <w:sz w:val="16"/>
              </w:rPr>
              <w:t>ь за виконанням 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669 124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50 760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719 884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709 940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53 856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763 796</w:t>
            </w: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669 124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50 760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719 884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709 940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53 856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763 796</w:t>
            </w: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rPr>
                <w:rFonts w:ascii="Arial" w:eastAsia="Arial" w:hAnsi="Arial" w:cs="Arial"/>
                <w:i/>
                <w:sz w:val="14"/>
              </w:rPr>
              <w:t>виконанням  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(бібліотек)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920" w:type="dxa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2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керівних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книговидач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число читачів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бібліотечний фонд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 примірників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45216,00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45216,00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42416,00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42416,00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поповнення бібліотечного фонду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 примірників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списання бібліотечного фонду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 примірників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поповнення бібліотечного фонду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47000,00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47000,00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списання бібліотечного фонду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затрати на обслуговування одного читача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686,00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686,00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818,00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62,00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880,00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книговидач на одного працівника (ставку)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4335,00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4335,00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поповнення бібліотечного фонду в плановому періоді відповідно до фактичного показника попереднього періоду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1294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rPr>
                <w:rFonts w:ascii="Arial" w:eastAsia="Arial" w:hAnsi="Arial" w:cs="Arial"/>
                <w:i/>
                <w:sz w:val="14"/>
              </w:rPr>
              <w:t>виконанням  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(бібліотек)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керівних працівників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1,50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книговидач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число читачів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бібліотечний фонд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 примірників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42616,00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42616,00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42816,00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42816,00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поповнення бібліотечного фонду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тис. примірників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81981" w:rsidRDefault="0018198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1000" w:type="dxa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100" w:type="dxa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поповнення бібліотечного фонду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по мережі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50760,00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50760,00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53856,00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53856,00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затрати на обслуговування одного читача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884,00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67,00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951,00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938,00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71,00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1009,00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поповнення бібліотечного фонду в плановому періоді відповідно до фактичного показника попереднього періоду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115 212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163 200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176 256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187 007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стимулючі доплати та надбавки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57 606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84 714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91 491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97 072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87 987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116 277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125 579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133 239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11 495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13 600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14 688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15 584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34 563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45 176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48 790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51 767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157 088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214 591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231 758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245 895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Обслуговуючий персонал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1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Штатні одиниці керівних працівників, адміністративно-господарського, учбово-допоміжного та іншого персоналу, включаючи персонал гуртожитків, - всього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81981" w:rsidRDefault="0018198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3,50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3,50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культури на території Тростянецької селищної територіальної громади на 2020-2022 рік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Рішенням сесії Тростянецької селищної ради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519 273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519 273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619 560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666 560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519 273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619 560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47 000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666 560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культури на території Тростянецької селищної територіальної громади на 2020-2022 рік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Рішенням сесії Тростянецької селищної ради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669 124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50 760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719 884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709 940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53 856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sz w:val="16"/>
              </w:rPr>
              <w:t>763 796</w:t>
            </w: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669 124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50 760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719 884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709 940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53 856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CA249C">
            <w:pPr>
              <w:ind w:right="60"/>
              <w:jc w:val="right"/>
            </w:pPr>
            <w:r>
              <w:rPr>
                <w:b/>
                <w:sz w:val="16"/>
              </w:rPr>
              <w:t>763 796</w:t>
            </w: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0" w:type="auto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</w:t>
            </w:r>
            <w:r>
              <w:rPr>
                <w:sz w:val="16"/>
              </w:rPr>
              <w:t>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0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81981" w:rsidRDefault="0018198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81981" w:rsidRDefault="00181981">
            <w:pPr>
              <w:spacing w:after="200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14. Бюджетні зобов</w:t>
            </w:r>
            <w:r>
              <w:rPr>
                <w:b/>
              </w:rPr>
              <w:t xml:space="preserve">'язання у 2018 і 2020 роках : 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Б</w:t>
            </w:r>
            <w:r>
              <w:rPr>
                <w:sz w:val="16"/>
              </w:rPr>
              <w:t>юджетні зобов'язання (4+6)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181981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t>2019 рік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t>2020 рік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очік</w:t>
            </w:r>
            <w:r>
              <w:rPr>
                <w:sz w:val="16"/>
              </w:rPr>
              <w:t>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</w:t>
            </w:r>
            <w:r>
              <w:rPr>
                <w:sz w:val="16"/>
              </w:rPr>
              <w:t>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0" w:type="auto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1981" w:rsidRDefault="00CA24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81981" w:rsidRDefault="00181981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left="60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left="60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1981" w:rsidRDefault="00181981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181981">
            <w:pPr>
              <w:jc w:val="center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7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81981" w:rsidRDefault="00181981">
            <w:pPr>
              <w:spacing w:after="200"/>
              <w:ind w:left="400"/>
              <w:jc w:val="both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981" w:rsidRDefault="00CA249C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81981" w:rsidRDefault="00181981">
            <w:pPr>
              <w:spacing w:after="200"/>
              <w:jc w:val="both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ind w:right="60"/>
            </w:pPr>
            <w:r>
              <w:rPr>
                <w:b/>
                <w:sz w:val="16"/>
              </w:rPr>
              <w:t>Начальник відділу</w:t>
            </w: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t>Т.Ф. Шерстюк</w:t>
            </w:r>
          </w:p>
        </w:tc>
        <w:tc>
          <w:tcPr>
            <w:tcW w:w="0" w:type="auto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rPr>
                <w:b/>
                <w:sz w:val="16"/>
              </w:rPr>
              <w:t>Головний спеціаліст</w:t>
            </w:r>
          </w:p>
        </w:tc>
        <w:tc>
          <w:tcPr>
            <w:tcW w:w="0" w:type="auto"/>
            <w:gridSpan w:val="8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r>
              <w:t>Н.П. Зіменко</w:t>
            </w:r>
          </w:p>
        </w:tc>
        <w:tc>
          <w:tcPr>
            <w:tcW w:w="0" w:type="auto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  <w:tr w:rsidR="0018198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1981" w:rsidRDefault="00CA249C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0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</w:tcPr>
          <w:p w:rsidR="00181981" w:rsidRDefault="0018198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81981" w:rsidRDefault="00181981">
            <w:pPr>
              <w:pStyle w:val="EMPTYCELLSTYLE"/>
            </w:pPr>
          </w:p>
        </w:tc>
      </w:tr>
    </w:tbl>
    <w:p w:rsidR="00CA249C" w:rsidRDefault="00CA249C"/>
    <w:sectPr w:rsidR="00CA249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81"/>
    <w:rsid w:val="00181981"/>
    <w:rsid w:val="00C57856"/>
    <w:rsid w:val="00CA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3326</Words>
  <Characters>18962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2020-01-02T07:45:00Z</dcterms:created>
  <dcterms:modified xsi:type="dcterms:W3CDTF">2020-01-02T07:45:00Z</dcterms:modified>
</cp:coreProperties>
</file>